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1" w:lineRule="exact"/>
        <w:rPr>
          <w:sz w:val="24"/>
          <w:szCs w:val="24"/>
          <w:color w:val="auto"/>
        </w:rPr>
      </w:pPr>
    </w:p>
    <w:p>
      <w:pPr>
        <w:ind w:left="3920" w:right="1020" w:hanging="2883"/>
        <w:spacing w:after="0" w:line="479" w:lineRule="auto"/>
        <w:tabs>
          <w:tab w:leader="none" w:pos="141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37" w:lineRule="exact"/>
        <w:rPr>
          <w:rFonts w:ascii="MS PGothic" w:cs="MS PGothic" w:eastAsia="MS PGothic" w:hAnsi="MS PGothic"/>
          <w:sz w:val="18"/>
          <w:szCs w:val="18"/>
          <w:color w:val="auto"/>
        </w:rPr>
      </w:pPr>
    </w:p>
    <w:p>
      <w:pPr>
        <w:ind w:left="1180" w:hanging="261"/>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1" w:lineRule="exact"/>
        <w:rPr>
          <w:rFonts w:ascii="MS PGothic" w:cs="MS PGothic" w:eastAsia="MS PGothic" w:hAnsi="MS PGothic"/>
          <w:sz w:val="18"/>
          <w:szCs w:val="18"/>
          <w:color w:val="auto"/>
        </w:rPr>
      </w:pPr>
    </w:p>
    <w:p>
      <w:pPr>
        <w:ind w:left="35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 ____________ to __________</w:t>
      </w:r>
    </w:p>
    <w:p>
      <w:pPr>
        <w:spacing w:after="0" w:line="282"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53975</wp:posOffset>
            </wp:positionV>
            <wp:extent cx="2537460" cy="1174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3420" w:type="dxa"/>
            <w:vAlign w:val="bottom"/>
            <w:tcBorders>
              <w:bottom w:val="single" w:sz="8" w:color="auto"/>
            </w:tcBorders>
          </w:tcPr>
          <w:p>
            <w:pPr>
              <w:jc w:val="center"/>
              <w:ind w:left="113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196"/>
        </w:trPr>
        <w:tc>
          <w:tcPr>
            <w:tcW w:w="3420" w:type="dxa"/>
            <w:vAlign w:val="bottom"/>
          </w:tcPr>
          <w:p>
            <w:pPr>
              <w:jc w:val="center"/>
              <w:ind w:left="1134"/>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420" w:type="dxa"/>
            <w:vAlign w:val="bottom"/>
          </w:tcPr>
          <w:p>
            <w:pPr>
              <w:jc w:val="center"/>
              <w:ind w:left="1134"/>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65"/>
        </w:trPr>
        <w:tc>
          <w:tcPr>
            <w:tcW w:w="3420" w:type="dxa"/>
            <w:vAlign w:val="bottom"/>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6"/>
        </w:trPr>
        <w:tc>
          <w:tcPr>
            <w:tcW w:w="3420" w:type="dxa"/>
            <w:vAlign w:val="bottom"/>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256"/>
        </w:trPr>
        <w:tc>
          <w:tcPr>
            <w:tcW w:w="3420" w:type="dxa"/>
            <w:vAlign w:val="bottom"/>
          </w:tcPr>
          <w:p>
            <w:pPr>
              <w:jc w:val="center"/>
              <w:ind w:right="254"/>
              <w:spacing w:after="0"/>
              <w:rPr>
                <w:sz w:val="20"/>
                <w:szCs w:val="20"/>
                <w:color w:val="auto"/>
              </w:rPr>
            </w:pPr>
            <w:r>
              <w:rPr>
                <w:rFonts w:ascii="Times New Roman" w:cs="Times New Roman" w:eastAsia="Times New Roman" w:hAnsi="Times New Roman"/>
                <w:sz w:val="18"/>
                <w:szCs w:val="18"/>
                <w:b w:val="1"/>
                <w:bCs w:val="1"/>
                <w:color w:val="auto"/>
                <w:w w:val="99"/>
              </w:rPr>
              <w:t>Alpharetta,</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160" w:type="dxa"/>
            <w:vAlign w:val="bottom"/>
          </w:tcPr>
          <w:p>
            <w:pPr>
              <w:jc w:val="right"/>
              <w:ind w:right="1275"/>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44"/>
        </w:trPr>
        <w:tc>
          <w:tcPr>
            <w:tcW w:w="3420" w:type="dxa"/>
            <w:vAlign w:val="bottom"/>
            <w:tcBorders>
              <w:top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(404) 952-2107</w:t>
      </w:r>
    </w:p>
    <w:p>
      <w:pPr>
        <w:spacing w:after="0" w:line="256"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76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37"/>
        </w:trPr>
        <w:tc>
          <w:tcPr>
            <w:tcW w:w="31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2"/>
        </w:trPr>
        <w:tc>
          <w:tcPr>
            <w:tcW w:w="3180" w:type="dxa"/>
            <w:vAlign w:val="bottom"/>
            <w:tcBorders>
              <w:top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PRTH</w:t>
            </w:r>
          </w:p>
        </w:tc>
        <w:tc>
          <w:tcPr>
            <w:tcW w:w="12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0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2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right="200" w:firstLine="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3"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096" w:right="339" w:bottom="0" w:gutter="0" w:footer="0" w:header="0"/>
        </w:sectPr>
      </w:pPr>
    </w:p>
    <w:bookmarkStart w:id="1" w:name="page2"/>
    <w:bookmarkEnd w:id="1"/>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3" w:lineRule="exact"/>
        <w:rPr>
          <w:sz w:val="20"/>
          <w:szCs w:val="20"/>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Securities Exchange Act of 1934, indicate by check mark whether the financial statements of the registrant included in the filing reflect the correction of an error to previously issued financials statements. </w:t>
      </w:r>
      <w:r>
        <w:rPr>
          <w:rFonts w:ascii="MS PGothic" w:cs="MS PGothic" w:eastAsia="MS PGothic" w:hAnsi="MS PGothic"/>
          <w:sz w:val="16"/>
          <w:szCs w:val="16"/>
          <w:color w:val="auto"/>
        </w:rPr>
        <w:t>☐</w:t>
      </w:r>
    </w:p>
    <w:p>
      <w:pPr>
        <w:spacing w:after="0" w:line="183" w:lineRule="exact"/>
        <w:rPr>
          <w:sz w:val="20"/>
          <w:szCs w:val="20"/>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0" w:lineRule="exact"/>
        <w:rPr>
          <w:sz w:val="20"/>
          <w:szCs w:val="20"/>
          <w:color w:val="auto"/>
        </w:rPr>
      </w:pPr>
    </w:p>
    <w:p>
      <w:pPr>
        <w:spacing w:after="0" w:line="184" w:lineRule="exact"/>
        <w:tabs>
          <w:tab w:leader="none" w:pos="80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71"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As of June 30, 2023, the last business day of the registrant's most recently completed second fiscal quarter, the aggregate market value of the registrant's Common Stock held by non-affiliates of the registrant was approximately $69.9 million (based upon the closing sale price of the Common Stock on that date on The Nasdaq Capital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7, 2024, the number of the registrant's Common Stock outstanding was 75,792,939.</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Portions of the definitive proxy statement to be filed with the Securities and Exchange Commission pursuant to Regulation 14A relating to the Annual Meeting of shareholders of Priority Technology Holdings, Inc., scheduled to be held on May 22, 2024, will be incorporated by reference in Part III of this Form 10-K. Priority Technology Holdings, Inc. intends to file such proxy statement with the Securities and Exchange Commission no later than 120 days after its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5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60" w:type="dxa"/>
            <w:vAlign w:val="bottom"/>
          </w:tcPr>
          <w:p>
            <w:pPr>
              <w:spacing w:after="0"/>
              <w:rPr>
                <w:sz w:val="20"/>
                <w:szCs w:val="20"/>
                <w:color w:val="auto"/>
              </w:rPr>
            </w:pPr>
          </w:p>
        </w:tc>
      </w:tr>
      <w:tr>
        <w:trPr>
          <w:trHeight w:val="562"/>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3051F2"/>
              </w:rPr>
              <w:t>Cautionary Note Regarding Forward-Looking Statements and Terms Used in the Annual Report on Form 10-K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w:t>
            </w:r>
          </w:p>
        </w:tc>
      </w:tr>
      <w:tr>
        <w:trPr>
          <w:trHeight w:val="229"/>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3051F2"/>
              </w:rPr>
              <w:t>Commonly Defined Terms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1B.</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Unresolved Staff Comments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26</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Item 1C.</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Cybersecurity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27</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2.</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Properties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27</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3.</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28</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4.</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28</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5.</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Market for Registrant's Common Equity, Related Stockholder Matters and Issuer Purchases of Equity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29</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6.</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29</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7.</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30</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7A.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Qualitative and Quantitative Disclosure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38</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8.</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Financial Statements and Supplementary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39</w:t>
            </w:r>
          </w:p>
        </w:tc>
      </w:tr>
      <w:tr>
        <w:trPr>
          <w:trHeight w:val="230"/>
        </w:trPr>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49</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Changes In and Disagreements with Accountants on Accounting and Financial Disclosure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92</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92</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9B.</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93</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10.</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Directors, Executive Officers and Corporate Governance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94</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11.</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Executive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94</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12.</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94</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13.</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Certain Relationships and Related Transactions, and Director Independence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94</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14.</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Principal Accounting Fees and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94</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IV.</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15.</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Exhibits, Financial Statement Schedules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95</w:t>
            </w:r>
          </w:p>
        </w:tc>
      </w:tr>
      <w:tr>
        <w:trPr>
          <w:trHeight w:val="234"/>
        </w:trPr>
        <w:tc>
          <w:tcPr>
            <w:tcW w:w="84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16.</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Form 10-K Summary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97</w:t>
            </w:r>
          </w:p>
        </w:tc>
      </w:tr>
      <w:tr>
        <w:trPr>
          <w:trHeight w:val="446"/>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Signatures</w:t>
            </w:r>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98</w:t>
            </w:r>
          </w:p>
        </w:tc>
      </w:tr>
      <w:tr>
        <w:trPr>
          <w:trHeight w:val="2302"/>
        </w:trPr>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Some of the statements made in this Annual Report on Form 10-K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w:t>
      </w:r>
      <w:r>
        <w:rPr>
          <w:rFonts w:ascii="Arial" w:cs="Arial" w:eastAsia="Arial" w:hAnsi="Arial"/>
          <w:sz w:val="18"/>
          <w:szCs w:val="18"/>
          <w:color w:val="auto"/>
        </w:rPr>
        <w:t>"</w:t>
      </w:r>
      <w:r>
        <w:rPr>
          <w:rFonts w:ascii="Times New Roman" w:cs="Times New Roman" w:eastAsia="Times New Roman" w:hAnsi="Times New Roman"/>
          <w:sz w:val="18"/>
          <w:szCs w:val="18"/>
          <w:color w:val="auto"/>
        </w:rPr>
        <w:t>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spacing w:after="0" w:line="191" w:lineRule="exact"/>
        <w:rPr>
          <w:sz w:val="20"/>
          <w:szCs w:val="20"/>
          <w:color w:val="auto"/>
        </w:rPr>
      </w:pPr>
    </w:p>
    <w:p>
      <w:pPr>
        <w:ind w:left="660" w:right="600" w:hanging="328"/>
        <w:spacing w:after="0" w:line="276"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section of this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8"/>
          <w:szCs w:val="18"/>
          <w:u w:val="single" w:color="auto"/>
          <w:color w:val="0000FF"/>
        </w:rPr>
        <w:t>Item 1A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section of this Annual Report on Form 10-K, that may cause our actual results or performance to be materially different from those expressed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Terms Used in this Annual Report on Form 10-K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Commonly Used or Defined Terms</w:t>
            </w:r>
          </w:p>
        </w:tc>
      </w:tr>
      <w:tr>
        <w:trPr>
          <w:trHeight w:val="35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w:t>
            </w: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Plan</w:t>
            </w:r>
          </w:p>
        </w:tc>
        <w:tc>
          <w:tcPr>
            <w:tcW w:w="100" w:type="dxa"/>
            <w:vAlign w:val="bottom"/>
            <w:tcBorders>
              <w:top w:val="single" w:sz="8" w:color="CCEEFF"/>
            </w:tcBorders>
            <w:shd w:val="clear" w:color="auto" w:fill="CCEEFF"/>
          </w:tcPr>
          <w:p>
            <w:pPr>
              <w:spacing w:after="0"/>
              <w:rPr>
                <w:sz w:val="19"/>
                <w:szCs w:val="19"/>
                <w:color w:val="auto"/>
              </w:rPr>
            </w:pPr>
          </w:p>
        </w:tc>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2018 Equity Incentive Plan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Stock Purchase Plan</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Employee Stock Purchase Plan</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ACH</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Automated clearing house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AML</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Anti-money laundering</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API</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program interface</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APIC</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ATI</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taxable income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B2B</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Business-to-business</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Business-to-consumer</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BaaS</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Banking as a service</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BSA</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Secrecy Act of 1970, as amended by the USA Patriot Act of 2001</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Coronavirus Aid, Relief, and Economic Security Act</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Consumer Protection Act</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Chairman and Chief Executive Officer</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CFPB</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 Financial Protection Bureau</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Common Stock, par value $.001 per share</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a Delaware corporation, and its direct and indirect subsidiaries</w:t>
            </w:r>
          </w:p>
        </w:tc>
      </w:tr>
      <w:tr>
        <w:trPr>
          <w:trHeight w:val="175"/>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and Guaranty Agreement dated April 27, 2021, by and among the Loan Parties (as defined therein) and</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Truist Bank</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CRM</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management</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Delayed Draw Term Loan</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Delayed draw term loan facility under the credit agreement</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Dodd-Frank Act</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 Frank Wall Street Reform and Consumer Protection Act of 2010</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Payments</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with credit, debit and prepaid cards</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FBO</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benefit of</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FCRA</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Credit Reporting Act</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 Board</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Governors of the Federal Reserve System</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institution</w:t>
            </w: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FIFO</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in, first out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FinCEN</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Financial Crimes Enforcement Network</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Finxera</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Finxera Holdings, Inc.</w:t>
            </w: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FSOC</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Financial Stability Oversight Council</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Term Loan</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 senior secured first lien term loan facility in an aggregate principal amount of $300,000,000</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Independent sales organization</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ISV</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Independent software vendors</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Information technology</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LIFO</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Last in, first out</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Limited Liability Company</w:t>
            </w: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National Association of Securities Dealers Automated Quotations</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OFAC</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Office of Foreign Assets Control</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Passport</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Priority Passport</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PHOT</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Priority Hospitality Technology, LLC a Delaware limited liability company</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PIK</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Payment-in-kind</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Point-of-sale</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Priority Real Estate Technology, LLC, a Delaware limited liability company</w:t>
            </w: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PRTH</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The Company's Nasdaq Capital Market trading symbol</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NCI's</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Redeemable non-controlling preferred equity interests</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Right of use asset</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Software as a Service</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appreciation rights</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 and medium-sized businesses</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SMS</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Short message service</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Act</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The Housing Assistance Tax Act of 2008</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TCPA</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Federal Telephone Consumer Protection Act of 1991</w:t>
            </w:r>
          </w:p>
        </w:tc>
      </w:tr>
      <w:tr>
        <w:trPr>
          <w:trHeight w:val="175"/>
        </w:trPr>
        <w:tc>
          <w:tcPr>
            <w:tcW w:w="2480" w:type="dxa"/>
            <w:vAlign w:val="bottom"/>
            <w:shd w:val="clear" w:color="auto" w:fill="CCEEFF"/>
          </w:tcPr>
          <w:p>
            <w:pPr>
              <w:spacing w:after="0"/>
              <w:rPr>
                <w:sz w:val="15"/>
                <w:szCs w:val="15"/>
                <w:color w:val="auto"/>
              </w:rPr>
            </w:pPr>
          </w:p>
        </w:tc>
        <w:tc>
          <w:tcPr>
            <w:tcW w:w="870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$620.0 million senior secured term loan facility issued under the Credit Agreement (including $320 million</w:t>
            </w:r>
          </w:p>
        </w:tc>
      </w:tr>
      <w:tr>
        <w:trPr>
          <w:trHeight w:val="2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delayed draw facility).</w:t>
            </w:r>
          </w:p>
        </w:tc>
      </w:tr>
      <w:tr>
        <w:trPr>
          <w:trHeight w:val="175"/>
        </w:trPr>
        <w:tc>
          <w:tcPr>
            <w:tcW w:w="2480" w:type="dxa"/>
            <w:vAlign w:val="bottom"/>
          </w:tcPr>
          <w:p>
            <w:pPr>
              <w:spacing w:after="0"/>
              <w:rPr>
                <w:sz w:val="15"/>
                <w:szCs w:val="15"/>
                <w:color w:val="auto"/>
              </w:rPr>
            </w:pPr>
          </w:p>
        </w:tc>
        <w:tc>
          <w:tcPr>
            <w:tcW w:w="87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The ratio of consolidated total debt to the Consolidated Adjusted EBITDA (as defined in the Credit</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Agreement).</w:t>
            </w: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Truist</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Truist Bank</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TSP</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Technology service provider</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VARs</w:t>
            </w:r>
          </w:p>
        </w:tc>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Value-added resellers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Priority is a solutions provider in Payments and BaaS industry, operating at scale with 860,000 active customers across its SMB, B2B and Enterprise customers channels. Priority processes $120 billion in annual transaction volume and provides administration for $900 million in deposits. Priority’s purpose-built technology enables clients to collect, store, lend and send money while providing AP payment applications and Passport financial tools that best optimize their cash flow and maximize working capital bolstered by our industry leading personalized support.</w:t>
      </w:r>
    </w:p>
    <w:p>
      <w:pPr>
        <w:spacing w:after="0" w:line="17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Priority was established in 2005 and has grown from a founder-financed technology startup to become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non-bank merchant acquirer in the U.S. by volume, according to the Nilson Report issued in March 2023. Since inception, we have built a native technology platform that provides all forms of payments (card acquiring and issuing, ACH, check and wire) and embedded finance services that serve customers of any size. Priority maintains a global business platform with 983 employees operating from its headquarters in Alpharetta, GA and regional offices in other locations, including New York, NY; Hicksville, NY; Chattanooga, TN; Raleigh, NC; Dallas, TX; San Francisco, CA; and Chandigarh, India.</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Priority delivers value to its partners by leveraging its payments and embedded finance technology to deliver solutions that power modern commerce for SMBs and enterprise software and business partners. We handle the complexities of payments and embedded finance to free our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has been underpinned by three key strengths: 1) market leading proprietary product platforms in SMB, B2B and Enterprise Payments verticals;</w:t>
      </w:r>
    </w:p>
    <w:p>
      <w:pPr>
        <w:spacing w:after="0" w:line="27" w:lineRule="exact"/>
        <w:rPr>
          <w:sz w:val="20"/>
          <w:szCs w:val="20"/>
          <w:color w:val="auto"/>
        </w:rPr>
      </w:pPr>
    </w:p>
    <w:p>
      <w:pPr>
        <w:ind w:right="360" w:firstLine="8"/>
        <w:spacing w:after="0" w:line="260" w:lineRule="auto"/>
        <w:tabs>
          <w:tab w:leader="none" w:pos="1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distribution engines dedicated to helping our partners monetize their merchant payment networks; and 3) a cost-efficient, agile payment and business processing infrastructure, purpose-built to support our partners in operating in these distinct market verticals.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Priority's solutions are delivered via internally developed payment applications and services to customers in the following business segments:</w:t>
      </w:r>
    </w:p>
    <w:p>
      <w:pPr>
        <w:spacing w:after="0" w:line="223" w:lineRule="exact"/>
        <w:rPr>
          <w:sz w:val="20"/>
          <w:szCs w:val="20"/>
          <w:color w:val="auto"/>
        </w:rPr>
      </w:pPr>
    </w:p>
    <w:p>
      <w:pPr>
        <w:ind w:left="660" w:right="24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SMB Acquiring Solutions</w:t>
      </w:r>
      <w:r>
        <w:rPr>
          <w:rFonts w:ascii="Times New Roman" w:cs="Times New Roman" w:eastAsia="Times New Roman" w:hAnsi="Times New Roman"/>
          <w:sz w:val="18"/>
          <w:szCs w:val="18"/>
          <w:color w:val="auto"/>
        </w:rPr>
        <w:t>: Provides full-service acquiring and payment-enabled solutions for B2C transactions, leveraging Priority's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platform, distributed through ISO, direct sales and vertically focused ISV channels.</w:t>
      </w:r>
    </w:p>
    <w:p>
      <w:pPr>
        <w:spacing w:after="0" w:line="158"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Payables</w:t>
      </w:r>
      <w:r>
        <w:rPr>
          <w:rFonts w:ascii="Times New Roman" w:cs="Times New Roman" w:eastAsia="Times New Roman" w:hAnsi="Times New Roman"/>
          <w:sz w:val="18"/>
          <w:szCs w:val="18"/>
          <w:color w:val="auto"/>
        </w:rPr>
        <w:t>: Provides market-leading AP automation solutions to corporations, software partners and industry leading FIs (including Citibank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Mastercard).</w:t>
      </w:r>
    </w:p>
    <w:p>
      <w:pPr>
        <w:spacing w:after="0" w:line="158"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Payments and BaaS</w:t>
      </w:r>
      <w:r>
        <w:rPr>
          <w:rFonts w:ascii="Times New Roman" w:cs="Times New Roman" w:eastAsia="Times New Roman" w:hAnsi="Times New Roman"/>
          <w:sz w:val="18"/>
          <w:szCs w:val="18"/>
          <w:color w:val="auto"/>
        </w:rPr>
        <w:t>: Provides embedded finance and BaaS solutions to customers to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partners' strategies to monetize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5863590" cy="3291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MX product suite provides technology-enabled payment acceptance and business management capabilities to merchants, enterprises and our distribution partners. The MX product suite includes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SMB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suite encompasses a variety of proprietary and third-party product applications that merchants can adopt such as MX Insights, MX Storefront, MX Retail, MX Invoice, MX B2B and ACH.com, among others. This comprehensive suite of solutions enables merchants to 1) identify key consumer trends in their businesses; 2) quickly implement e-commerce or retail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our SMB offering, we have diversified our source of revenues through our growing presence in the B2B market. We provide automated AP offerings to our enterprise clients and financial institutions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 2) buyers with valuable rebate/discount revenue: and 3) the Company with stable sources of payment processing and other revenue. Additionally, we provide a suite of integrated AP automation solutions businesses to FIs and card networks such as Citibank, Mastercard and Visa, among others. Alongside CPX as part of the AP suite, Priority acquired the assets of Plastiq Inc. through its subsidiary Plastiq, Powered by Priority, LLC, a leading B2B payments company, in the third fiscal quarter of 2023, and has helped tens of thousands of businesses improve cash flow with instant access to working capital, while automating and enabling control over all aspects of accounts payable and receivable.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fees and get paid across any customer touch point, including a website, invoice, checkout process, and in person via QR code. The Plastiq Connect API suite enables platforms, marketplaces, and ERPs, to expand B2B payment options for payables and receivables in their native customer experience while outsourcing payment execution, risk, and compliance.</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Enterprise Payments segment provides embedded finance and BaaS solutions to customers that modernize legacy platforms and accelerate modern software partners looking to monetize payment components. We provide solutions for ISVs, third-party integrators, and merchants that allow for the leveraging of our core payments engine, our automated payables platform or our account ledgering capabilities all via API resources.</w:t>
      </w:r>
    </w:p>
    <w:p>
      <w:pPr>
        <w:spacing w:after="0" w:line="176"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We generate revenue primarily from payment processing transactions, and to a lesser extent, from monthly subscription services and other solutions provided to customers and interest income from the permissible investments of the deposits we hold. Payment processing fees are generated from the ongoing sales of our merchants and are governed by multi-year merchant contracts. As a result, payment processing fees are highly recurring in nature.</w:t>
      </w:r>
    </w:p>
    <w:p>
      <w:pPr>
        <w:spacing w:after="0" w:line="15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generated revenue of $755.6 million, net loss attributable to common stockholders of $49.1 million and operating income of $81.5 million, compared to revenue of $663.6 million, net loss attributable to common stockholders of $39.0 million and operating income of $56.2 million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payment processing industry provides merchants with credit, debit, gift, loyalty card and other payment processing services, along with related value-added solutions and information services. The industry continues to grow, driven by wider merchant acceptance, increased use of Electronic Payments, advances in payment technology and the disruption in banking by fintech providers. The proliferation of bankcards and the use of other payment technologies has made the acceptance of Electronic Payments through multiple channels a virtual necessity for many businesses to remain competitive. The increased use and acceptance of bankcards and the availability of more sophisticated products and services has resulted in a highly competitive, specialized industry.</w:t>
      </w:r>
    </w:p>
    <w:p>
      <w:pPr>
        <w:spacing w:after="0" w:line="18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SMB merchants and enterprise customers increasingly recognize the need for value-added services wrapped around omni-channel payment solutions that are tailored to their specific business needs.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Industry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key trends we believe are impacting the merchant acquiring/payment processing industry:</w:t>
      </w:r>
    </w:p>
    <w:p>
      <w:pPr>
        <w:spacing w:after="0" w:line="225" w:lineRule="exact"/>
        <w:rPr>
          <w:sz w:val="20"/>
          <w:szCs w:val="20"/>
          <w:color w:val="auto"/>
        </w:rPr>
      </w:pPr>
    </w:p>
    <w:p>
      <w:pPr>
        <w:ind w:left="660" w:right="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 Toward Electronic Transactions – We believe the continued shift from cash/paper payments toward electronic/card payments will drive growth for merchant acquirers and processors as volume continues to grow correspondingly. We believe this migration and overall market growth will continue to provide tailwinds to the Electronic Payments industry.</w:t>
      </w:r>
    </w:p>
    <w:p>
      <w:pPr>
        <w:spacing w:after="0" w:line="175"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Convergence of Payments and Embedded Finance Solutions – As consumer behavior shifted during the COVID-19 pandemic, the scale of disruption grew dramatically and we believe the speed of change will continue to rise. The appetite of both merchants and consumers for new alternatives to traditional payment options remains top of mind and big tech companies, fintechs, challenger banks and other non-bank entrants are driving market disruption by offering customers better user experiences at lower prices. The continued displacement of cash and checks over the next several years, helped along by customers' adoption of digital shopping and fueled by their desire to avoid contact with physical infrastructure and objects, continues to create even more opportunities for disruption in payments.</w:t>
      </w:r>
    </w:p>
    <w:p>
      <w:pPr>
        <w:spacing w:after="0" w:line="18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Payments – Historically, e-commerce was conducted on a computer via a web browser; however, as mobile technologies continue to proliferate, consumers are making more purchases through mobile browsers and native mobile applications. We believe this shift represents a significant opportunity given the high growth rates of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payments volume, higher fees for card-not-present and cross-border processing and potential for the in-app economy to stimulate and/or alter consumer spending behavior.</w:t>
      </w:r>
    </w:p>
    <w:p>
      <w:pPr>
        <w:spacing w:after="0" w:line="16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B2B payments is the largest payment market in the U.S.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possess certain attributes that we believe differentiate us as a leading provider of merchant acquiring, commercial payment and embedded finance solutions in the U.S. Our key competitive strengths include:</w:t>
      </w:r>
    </w:p>
    <w:p>
      <w:pPr>
        <w:spacing w:after="0" w:line="162" w:lineRule="exact"/>
        <w:rPr>
          <w:sz w:val="20"/>
          <w:szCs w:val="20"/>
          <w:color w:val="auto"/>
        </w:rPr>
      </w:pPr>
    </w:p>
    <w:p>
      <w:pPr>
        <w:ind w:left="660" w:right="4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Diverse Reseller Community – We maintain strong reseller relationships with approximately 1,200 partners, including ISOs, FIs, ISVs, VARs and other referral partners. MX Connect enables resellers to efficiently market merchant acquiring solutions to a broad base of merchants through a one-to-many distribution model. We believe that our ability to service our reseller partners through a comprehensive offering provides a competitive advantage that has allowed the Company to build a large, diverse merchant base characterized by high retention. The strengths of our technology offering are manifested in the fact that we maintain ownership of merchant contracts, with most reseller contracts including strong non-solicit and portability restrictions.</w:t>
      </w:r>
    </w:p>
    <w:p>
      <w:pPr>
        <w:spacing w:after="0" w:line="187"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Suite of Payment Solutions – We offer a comprehensive and differentiated suite of traditional and emerging payment products and services that enables SMBs to address their payment needs through one provider. Our purpose-built proprietary technology provides technology-enabled payment acceptance and business management solutions to merchants, enterprises and ISVs. We provide a payment processing platform that allows merchants to accept Electronic Payments (e.g., credit cards, debit cards, and ACH) at the POS, online, and via mobile payment technologies. We deliver innovative business management products and add-on features that meet the needs of SMBs across different vertical markets. Additionally, with our embedded finance offerings and money transmissions licenses in 46 U.S. states, the District of Columbia and two U.S. territories, we are uniquely positioned to collect, store, lend and send money on behalf of our customers. As a result,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73" w:lineRule="exact"/>
        <w:rPr>
          <w:rFonts w:ascii="Times New Roman" w:cs="Times New Roman" w:eastAsia="Times New Roman" w:hAnsi="Times New Roman"/>
          <w:sz w:val="17"/>
          <w:szCs w:val="17"/>
          <w:color w:val="auto"/>
        </w:rPr>
      </w:pPr>
    </w:p>
    <w:p>
      <w:pPr>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Scalable Business Model with Operating Leverage – As a result of thoughtful investments in our technology, we have developed robust and differentiated infrastructure that has enabled us to scale in a cost-efficient manner. Our operating efficiency supports a low capital expenditure environment to develop product enhancements that drive organic growth across our SMB, B2B and Enterprise payment ecosystems, as well as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8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Led by Industry Veterans – Our executive management team has a record of execution in the merchant acquiring and technology-enabled payments industry. Our team has continued to develop and enhance our proprietary and innovative technology platforms that differentiate us in the payments industry. We invest to attract and retain executive leadership that align with the opportunities in the market and our strategic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continue to execute a multi-pronged growth strategy, with diverse organic initiatives supplemented by acquisitions. Growth strategies include: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 Growth in our Reseller Network and Merchant Base</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to grow through our existing reseller network and merchant base by capitalizing on the organic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 to exhibit strong merchant adoption and volume growth trends. Through our resellers, we provide merchants with full-service acquiring solutions, as well as value-added services and tools to streamline their business processes and enable them to focus on driving same store sales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Deploy our Embedded Finance Solution to Enterprise Customers</w:t>
      </w:r>
    </w:p>
    <w:p>
      <w:pPr>
        <w:spacing w:after="0" w:line="227"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Our Enterprise Payments segment, and its flagship product Passport enables software partners and business platform customers to embed our payments and treasury solutions into their core operating and business systems that deliver a fully automated and digital experience to collect, store, lend and send money</w:t>
      </w:r>
    </w:p>
    <w:p>
      <w:pPr>
        <w:spacing w:after="0"/>
        <w:rPr>
          <w:sz w:val="20"/>
          <w:szCs w:val="20"/>
          <w:color w:val="auto"/>
        </w:rPr>
      </w:pPr>
      <w:r>
        <w:rPr>
          <w:rFonts w:ascii="Times New Roman" w:cs="Times New Roman" w:eastAsia="Times New Roman" w:hAnsi="Times New Roman"/>
          <w:sz w:val="18"/>
          <w:szCs w:val="18"/>
          <w:color w:val="auto"/>
        </w:rPr>
        <w:t>for their customers. Through Passport, Priority delivers a fully embedded finance solution to customers that manages the inflows and outflows, and</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reconciliation, of all forms of payments (ACH, wire, check, credit and debit) for any number of clients from a single account. The platform today manages over 700,000 active accounts and, through its money transmission licenses in 46 U.S. states, the District of Columbia and two U.S. territories, handles over $795 million in deposits across a growing number of banking partners. This segment is quickly growing as marketplaces, gig economy platforms, software partners, and legacy business platforms are incorporating features of payment processing and embedded finance services into their customer experience and enhance their offering.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our Network of Distribution Partners</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established and maintained a strong position within the reseller community with approximately 1,200 partners. We intend to continue to expand our distribution network to reach new partners, particularly with ISVs and VARs to expand technology and integrated partnerships. We believe that our technology offering enables us to attract and retain high-quality resellers focused on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Deploy Industry Specific Payment Technology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intend to continue to enhance and deploy our technology-enabled payment solutions and our capabilities to collect, store and send money into industry-specific verticals. We continue to identify and evaluate new, attractive industries where we can deliver differentiated technology-enabled payment solutions that meet merchants' industry-specific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Electronic Payments Share of B2B Transactions with CPX and Plastiq</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 growing presence in the commercial payments market where we provide curated managed services and AP automation solutions to businesses, FIs and card networks such as Citibank, Mastercard and Visa. The commercial payments market is the largest and one of the fastest growing payments markets in the U.S. by volume. We are well positioned to capitalize on the shift from check to Electronic Payments, which currently lags the consumer payments market, by eliminating the friction between buyers and suppliers through our industry leading offerings of CPX and Plastiq. We believe this will drive strong growth and profitability.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Accretive Acquisitions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a consistent, long-term goal of maximizing stockholder value, we intend to selectively pursue strategic and tactical acquisitions that meet our established criteria. We actively seek potential acquisition candidates that exhibit certain attractive attributes including predictable and recurring revenue, a scalable operating model, low capital intensity, complementary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technology offerings and a strong cultural fit. Our operating infrastructure is purpose-built to rapidly and seamlessly consolidate complementary businesses into our ecosystem all while optimizing revenue and cost synergies.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reach our SMB segment through three primary sales channels: 1) ISOs (Retail and Wholesale) and Agents; 2) FIs; and 3) ISVs and VARs. Our cloud-based solution, MX Connect, allows our partners and resellers to engage merchants for processing services and a host of value-added features designed to enhance their customer relationships. Our merchants utilize our cloud-based MX Merchant product suite to manage their businesses and process transactions. This separate solution increases our ability to retain the merchant if the ISO were to leave the Company.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B2B segment obtains its partner clients through: 1) direct sales initiatives; 2) ISVs and business partnerships; 3) the card networks (Mastercard and Visa); 4) large U.S. banking institutions and 5) other card issuer referral partners.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a top solutions provider in commercial payments. Our Plastiq offerings consist of all payment types including wires and checks to the vendors of our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segment goes to market through integrations with software partners and business platform customers by enabling them to embed our</w:t>
      </w:r>
    </w:p>
    <w:p>
      <w:pPr>
        <w:spacing w:after="0" w:line="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payments and treasury solutions into their core operating and business systems. Passport's offering provides those partners with a fully automated, scalable and integrated financial tool to collect, store, lend and send money for their customers.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market strategy has resulted in a merchant base that we believe is diversified across both industries and geographies resulting in, what we believe, is more stable average profitability per merchant. Only one reseller relationship contributes more than 10% of total bankcard processing volume, and such relationship represents approximately 14% of our total bankcard processing volume for the fiscal year ending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Disaster Recovery and Back-up Systems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a result of routine business operations, we store information relating to our merchants and their transactions. Because this information is considered sensitive in nature, we maintain a high level of security to protect it. Our computational systems are continually updated and audited to the latest security standards as defined by 1) payment card industry and data security standards; and 2) the Payment Card Industry Security Standards Council. As such, we have a dedicated team responsible for responding to security incidents. This team develops, maintains, tests and verifies our incident response plan. The primary function of this team is to react and respond to intrusions, denial of service, data leakage, malware, vandalism and other events that could potentially jeopardize data availability, integrity and confidentiality. In addition to handling security incidents, the incident response team continually educates themselves and us on information security matters.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High-availability and disaster recovery are provided through a combination of redundant hardware and software running at two geographically distinct data centers. Each data center deployment is an exact mirror of the other and each can handle all technical, payment and business operations for all product lines independently. If one data center becomes impaired, the traffic is automatically redirected to the other. Business continuity planning drills are run each quarter to test fail-over and recovery as well as staff operations and readiness.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Processors and Sponsor Banks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partner with various vendors in the payments value chain, most notably processors and sponsor banks which sit between us (the merchant acquirer) and the card networks, to assist us in providing payment processing services to merchant clients. Processing is a scale-driven business in which many acquirers outsource the processing function to a small number of large processors. In these partnerships, we serve as a merchant acquirer and enter into processing agreements with payment processors, such as Fiserv or Global Payments, to assist us in providing front-end and back-end transaction processing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our merchants. These third parties are compensated for their services. These processors in turn have agreements with card networks such as Visa and Mastercard, through which the transaction information is routed in exchange for network fees.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provide processing services, merchant acquirers like Priority must be registered with the card networks (e.g., Visa and Mastercard). To register with a card network in the U.S., acquirers must maintain relationships with banks willing to sponsor the merchant acquirer's adherence to the rules and standards of the card networks, or a sponsor bank. We maintain sponsor bank relationships with Wells Fargo, Synovus Bank, Pueblo Bank and Axiom Bank. We maintain a card issuing relationship with Sutton Bank. For ACH payments, the Company's ACH network (ACH.com) is sponsored by South State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thoughtful merchant and reseller underwriting policies combined with our forward-looking transaction monitoring capabilities have enabled us to maintain low credit loss performance. Our risk management strategies are informed by a team with experience managing merchant acquiring risk operations that are augmented by our rules-based modern systems designed to manage risk at the transaction level.</w:t>
      </w:r>
    </w:p>
    <w:p>
      <w:pPr>
        <w:spacing w:after="0" w:line="17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Initial Underwriting </w:t>
      </w:r>
      <w:r>
        <w:rPr>
          <w:rFonts w:ascii="Times New Roman" w:cs="Times New Roman" w:eastAsia="Times New Roman" w:hAnsi="Times New Roman"/>
          <w:sz w:val="18"/>
          <w:szCs w:val="18"/>
          <w:color w:val="auto"/>
        </w:rPr>
        <w:t>– Central to our risk management process are our front-line underwriting policies that vet all resellers and merchants prior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arrangements with us. Our automated risk systems access: 1) guarantor information; 2) corporate ownership details; 3) anti-money laundering information; and, 4) OFAC and FinCEN information from a variety of integrated databases. The collected information is delivered to a team of underwriters who conduct necessary industry checks, financial performance analysis or owner background checks, as applicable and consistent with our policies. Based upon these results, the underwriting department rejects or approves the merchant or reseller and sets appropriate merchant and reseller reserve requirements which are held by our bank sponsors on our behalf. Resellers may be subject to quarterly and/or annual assessments for financial strength in compliance with our policies and adjustments to reserve levels. The results of our initial merchant underwriting process inform the transaction-level risk limits for volume, average ticket, transaction types and authorization codes that are captured by our CYRIS risk module - a proprietary risk system that monitors and reports transaction risk activity to our risk team. This transaction-level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Real-Time Risk Monitoring </w:t>
      </w:r>
      <w:r>
        <w:rPr>
          <w:rFonts w:ascii="Times New Roman" w:cs="Times New Roman" w:eastAsia="Times New Roman" w:hAnsi="Times New Roman"/>
          <w:sz w:val="18"/>
          <w:szCs w:val="18"/>
          <w:color w:val="auto"/>
        </w:rPr>
        <w:t>– Merchant transactions are monitored on a transactional basis to proactively enforce risk controls. Our risk systems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 Audit </w:t>
      </w:r>
      <w:r>
        <w:rPr>
          <w:rFonts w:ascii="Times New Roman" w:cs="Times New Roman" w:eastAsia="Times New Roman" w:hAnsi="Times New Roman"/>
          <w:sz w:val="18"/>
          <w:szCs w:val="18"/>
          <w:color w:val="auto"/>
        </w:rPr>
        <w:t>– Transactions flagged by our risk monitoring systems or that demonstrate suspicious activity traits that have been flagged for review can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funds being held in addition to other risk mitigation actions. The risk mitigation actions can include: 1) non-authorization of the transaction; 2) debit of reserves; or 3) termination of the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8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Mitigation </w:t>
      </w:r>
      <w:r>
        <w:rPr>
          <w:rFonts w:ascii="Times New Roman" w:cs="Times New Roman" w:eastAsia="Times New Roman" w:hAnsi="Times New Roman"/>
          <w:sz w:val="18"/>
          <w:szCs w:val="18"/>
          <w:color w:val="auto"/>
        </w:rPr>
        <w:t>– In instances where transactions and/or individual merchants are flagged for fraud, or in instances where the transaction activity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excessive charge-backs, several loss mitigation actions may be taken. These include: 1) charge-back dispute resolution; 2) merchant and reseller funds (reserves or processed batches) withheld; 3) inclusion on Network Match List to notify the industry of a "bad actor"; and/or 4) legal action.</w:t>
      </w:r>
    </w:p>
    <w:p>
      <w:pPr>
        <w:spacing w:after="0" w:line="173"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We use our primary portfolio to provide for the investment of excess funds at acceptable risk levels. Our portfolio consists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accounts at FDIC insured institutions. Concentration in any one particular financial institution could create operational disruption or put customer funds in excess of FDIC insured limits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of a Business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23, 2023, Plastiq, Powered by Priority, LLC, a subsidiary of PRTH, entered into an equity and asset purchase agreement with Plastiq, Inc., to acquire substantially all of the assets of Plastiq Inc., including the equity interest in Plastiq Canada, Inc ("Plastiq"). Plastiq is a buyer funded B2B payments platform offering bill pay and instant access to working capital to its customers and will complement the Company's existing supplier-funded B2B payments business. On May 24, 2023, Plastiq Inc. filed voluntary petitions for relief under Chapter 11 of Title 11 of the United States Code in the U.S. Bankruptcy Court for the District of Delaware.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purchase was completed on July 31, 2023, for a total purchase consideration of approximately $37.0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xml:space="preserve"> for additional information related to the Company's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color w:val="auto"/>
        </w:rPr>
        <w:t>The U.S. acquiring industry is highly competitive, with several large processors accounting for the majority of processing volume. When excluding banks, we ranked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among U.S. non-bank merchant acquirers, according to the March 2023 Nilson Report.</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concentration at the top of the industry is partly a result of consolidation. We believe that consolidation has also resulted in many large processors maintaining multiple, inflexible legacy IT systems that are not well-equipped to adjust to changing market requirements. We believe that the large merchant acquirers whose innovation has been hindered by these redundant legacy systems risk losing market share to acquirers with more agile and dynamic IT systems.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Pricing has historically been the key factor influencing the selection of a merchant acquirer. Providers with more advanced tech-enabled services (primarily online and integrated offerings), have an advantage over providers who are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1) price; 2) breadth of product offerings; 3) partnerships with FIs; 4) servicing capability; 5) data security; and 6)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largest opportunity for acquirers to expand is within the SMB merchant market. As small businesses increasingly demand integrated solutions tailored to specific business functions or industries, merchant processors are adopting payment-enabled software offerings that combine embedded finance products with core business operating software. By subsisting within SMB's critical business software, processors are able to improve economic results through better merchant retention and higher processing margins. Through our MX Merchant platform, we are well-positioned to capitalize on the trend towards integrated solutions, new technology adoption and value added-service utilization in the SMB market.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Providing BaaS products is highly competitive. We face competition from other BaaS providers and banks directly. We differentiate ourselves to merchants and enterprise customers through our ability to innovate and develop new products and services that offer new payment experiences for customers on our platform. Our agility, risk management and suite of products within a single platform differentiates us from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Payment Network Rules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Wall Street Reform and Consumer Protection Act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Dodd-Frank Act resulted in significant structural and other changes to the regulation of the financial services industry. The Dodd-Frank Act directed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$10.0 billion or more are capped at $0.21 per transaction and an ad valorem component of five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Dodd-Frank Act limits the ability of payment card networks to impose certain restrictions because it allows merchants to: 1) set minimum dollar amounts (not to exceed $10.00) for the acceptance of a credit card (and allows federal governmental entities and institutions of higher education to set maximum amounts for the acceptance of credit cards); and 2) provide discounts or incentives to encourage consumers to pay with cash, checks, debit cards or credit cards.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rules also contain prohibitions on network exclusivity and merchant routing restrictions. These rules require a card issuer to: 1) enable at least two unaffiliated networks on each debit card; 2) prohibit card networks from entering into exclusivity arrangements; and 3)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Dodd-Frank Act created the CFPB, which has assumed responsibility for enforcing federal consumer protection laws, and the FSOC, which was established to, among other things, identify risks to the stability of the U.S. financial system. The FSOC has the authority to require supervision and regulation of nonbank financial companies that the FSOC determines pose a systemic risk to the U.S. financial system. Accordingly, we may be subject to additional systemic risk-related oversight.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Network Rules and Standards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 Laws and Regulations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FFIEC is an interagency body comprised of federal bank and credit union regulators such as the Federal Reserve Board, the FDIC, the National Credit Union Administration, the Office of the Comptroller of the Currency and the CFPB. The FFIEC examines large data processors to identify and mitigate risks associated with systemically significant service providers, including specifically the risks they may pose to the banking industry.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considered by the FFIEC to be a TSP based on the services we provide to FIs. As a TSP, we are subject to audits by an interagency group consisting of the Federal Reserve System, the FDIC, and the Office of the Comptroller of the Currency.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subsidiary, Finxera, Inc., we also hold money transmission licenses in 46 U.S. states, the District of Columbia and two U.S. territories.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are subject to the applicable laws and regulations and are subject to examinations by state banking regulators.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Information Security Laws</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provide services that may be subject to various state, federal and foreign privacy laws and regulations. These laws and regulations include: 1) the federal Gramm-Leach-Bliley Act of 1999, which applies to a broad range of FIs and to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that provide services to FIs in the U.S.; 2) certain health care technology laws, including HIPAA and the Health Information Technology for Economic and Clinical Act; and 3) the CCPA, which establishes a new privacy framework for covered businesses by: i) creating an expanded definition of personal information; ii) establishing new data privacy rights for consumers in the State of California; iii) imposing special rules on the collection of consumer data from minors; and iv) creating a new and potentially severe statutory damages framework for violations of the CCPA and for businesses that fail to implement reasonable security procedures and practices to prevent data breaches. We are also subject to a variety of foreign data protection and privacy laws, including, without limitation, Directive 95/46/EC, as implemented in each member state of the European Union and its successor, the General Data Protection Regulation. Among other things, these foreign and domestic laws, and their implementing regulations, in certain cases: 1) restrict the collection, processing, storage, use and disclosure of personal information; 2) require notice to individuals of privacy practices, and provide individuals with certain rights to prevent use; and 3) disclosure of protected information. These laws also impose requirements for safeguarding and removal or elimination of personal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AML and Counter-terrorism Regulation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U.S. federal anti-money laundering laws and regulations, including the BSA, and the BSA implementing regulations administered by FinCEN, a bureau of the U.S.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FIs that are directly subject to U.S. federal anti-money laundering laws and regulations, we have developed an anti-money laundering compliance program to best assist our clients in meeting such legal and regulatory requirements.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certain economic and trade sanctions programs that are administered by OFAC of the U.S.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Telephone Consumer Protection Act and Telemarketing Sales Rule</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subject to the Federal TCPA and various state laws to the extent we place telephone calls and SMS messages to clients and consumers. The TCPA regulates certain telephone calls and SMS messages placed using automatic telephone dialing systems or artificial or prerecorded voices and can alter the way we do business. Additionally, as a provider of dedicated accounts in the debt resolution industry, we are also subject to certain requirements of the Telemarketing Sales Rule which requires independence of account administrators and certain prohibitions against advance payment of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Escheat Laws</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are subject to U.S. federal and state unclaimed or abandoned property laws that require us to transfer to certain government authorities the unclaimed property of other that we hold when that property has been unclaimed for a certain period of time. Moreover, we are subject to audit by state and foreign regulatory authorities with regard to our escheatment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Tax Act of 2008 requires certain merchant acquiring entities and third-party settlement organizations to provide information returns for each calendar year with respect to payments made in settlement of electronic payment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payment network transactions occurring in that calendar year. Reportable transactions are also subject to backup withholding requirements.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is not an exhaustive list of the laws, rules and regulations which we are subject to and the regulatory framework governing our business is changing continuously.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developed a payments platform that includes many instances of proprietary software, code sets, workflows and algorithms. It is our practice to enter confidentiality, non-disclosure and invention assignment agreements with our employees and contractors, and to enter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983 employees, of which 974 were employed full-time. We have employees residing throughout the U.S., Canada and India. None of our employees are represented by a labor union or covered by a collective bargaining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and Development</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strategy to develop and retain the best talent includes an emphasis on employee training and development. We promote our core values of ownership, innovation, camaraderie, service, authenticity and trust as an organization and offer awards to colleagues who exemplify these qualities. We require a mandatory online training curriculum for our employees that includes annual anti-harassment and anti-discrimination training.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Diversity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inclusion and diversity program focuses on our employees, workplace and community. We believe that our business is strengthened by a diverse workforce that reflects the communities in which we operate. We believe all of our employees should be treated with respect and equality, regardless of gender, ethnicity, sexual orientation, gender identity, religious beliefs or other characteristics. Inclusion and diversity remain a common thread in all of our human resource practices so that we can attract, develop and retain the best talent for our workforce.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Filings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made available free of charge on our internet website at www.prioritycommerce.com, as soon as reasonably practicable after we have electronically filed the material with, or furnished it to the SEC. The SEC maintains an internet site that contains our reports, proxy and information statements and our other SEC filings. The address of that website is 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Common Stock and our financial results are subject to a number of risks. You should carefully consider the risks described below and all other information contained in this Annual Report on Form 10-K and the documents incorporated by reference. Our business, prospects, financial condition or operating results could be harmed by any of these risks, as well as other risks not currently known to us or that we currently consider immaterial. Additional risks and uncertainties, including those generally affecting the industry in which we operate and risks that management currently deems immaterial, may arise or become material in the future and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access to our systems or unauthorized disclosure of merchant or cardholder data, whether through breach of our computer systems, computer viruses, or otherwise, could expose us to liability, protracted and costly litigation and damage our reputation.</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services include the processing, transmission and storing of sensitive business and personal information about our merchants, merchants' customers, vendors, partners and other third parties. This information may include credit and debit card numbers, bank account numbers, personal identification numbers, names and addresses or other sensitive business information. This information may also be stored by third parties to whom we outsource certain functions or other agents ("associated third parties"). We may have responsibility to the card networks, FIs, and in some instances, our merchants, and/or ISOs, for our failure or the failure of our associated third parties to protect this information.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The techniques used to obtain unauthorized access, disable or degrade service, sabotage systems or utilize payment systems in an effort to perpetrate financial fraud change frequently and are often difficult to detect and all of which we are vulnerable to. We have been the target of brute force attempts to obtain unauthorized access to our systems. Threats may derive from human error, fraud or malice on the part of employees or third parties, or may result from accidental technological failure. Computer viruses can be distributed and spread rapidly over the internet and could infiltrate our systems or those of our associated third parties. Additionally, denial of service or other attacks could be launched against us for a variety of purposes, including interfering with our services or to create a diversion for other malicious activities. Our defensive measures may not prevent down-time, unauthorized access or use of sensitive data. While we maintain insurance coverage that will cover certain aspects of cyber risks, such insurance coverage may be insufficient to cover all losses. Furthermore, we do not control the actions of our third-party partners and customers in their systems. These third parties may experience security breaches and any future problems experienced by these third parties, including those resulting from cyber attacks or other breakdowns or disruptions in services, could adversely affect our ability to conduct our business or expose us to liability. Further, our agreements with our bank sponsors and our third-party payment processors (as well as payment network requirements) require us to take certain protective measures to ensure the confidentiality of merchant and consumer data. Any such actions, attacks or failure to adequately comply with these protective measures could hurt our reputation, force us to incur significant expenses in remediating the resulting impacts, expose us to uninsured liability, result in the loss of our bank sponsors or our ability to participate in the payment networks, or subject us to fees, penalties, sanctions, litigation or termination of our bank sponsor agreements or our third-party payment processor agreements.</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or our third-party providers' systems may fail, which could interrupt our service, cause us to lose business, increase our costs and expose us to liability.</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depend on the efficient and uninterrupted operation of our computer systems, software, data centers and telecommunications networks, as well as the systems and services of third parties. A system outage or data loss could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material adverse effect on our business, financial condition, results of operations and cash flows. Not only could we suffer damage to our reputation in the event of a system outage or data loss, but we may also be liable to third parties. Many of our contractual agreements with FIs and certain other customers require the payment of penalties if we do not meet certain operating standards. Our systems and operations or those of our third-party providers could be exposed to damage or interruption from, among other things, fire, natural disaster, power loss or telecommunications failure.</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5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The payment processing industry is highly competitive. We primarily compete in the SMB merchant industry. We compete with FIs and their affiliates, independent payment processing companies and ISOs. We also compete with many of these same entities for production through distribution partners. Many of our distribution partners are not exclusive to us but also have relationships with our competitors, such that we have to continually expend resources to maintain those relationships. Our growth will depend on the continued growth of Electronic Payments, particularly Electronic Payments to SMB merchants, and our ability to increase our market share through successful competitive efforts to gain new merchants and distribution partners.</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many FIs and their subsidiaries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Our current and future competitors may also develop or offer services that have price or other advantages over the services we provide.</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also face new, well capitalized, competition from emerging technology and non-traditional payment processing companies as well as traditional companies offering alternative Electronic Payments services and payment-enabled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payment-enabled software versus terminal based 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Increased merchant, referral partner or ISO attrition could cause our financial results to decline.</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experience attrition in merchant credit and debit card processing volume resulting from several factors, including business closures, transfers of merchant accounts to our competitors, unsuccessful contract renewal negotiations and account closures that we initiate for various reasons such as heightened credit risks or contract breaches by merchants. Our referral partners are a significant source of new business. If a referral partner or an ISO switches to another processor, terminates our services, internalizes payment processing that we perform, merges with or is acquired by one of our competitors, or shuts down or becomes insolvent, we may no longer receive new merchant referrals from such referral partner, and we risk losing existing merchants that were originally enrolled by the referral partner or ISO. We cannot predict the level of attrition in the future and it could increase. Higher than expected attrition could negatively affect our results, which could have a material adverse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card association and debit network fees or products could increase costs or otherwise limit our operations.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payment network rules or standards could adversely affect our business, financial condition and results of operations.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Payment network rules are established and changed from time to time by each payment network as they may determine in their sole discretion and with or without advance notice to their participants. The timelines imposed by the payment networks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sponsor banks for expected compliance with new rules have historically been, and may continue to be, highly compressed, requiring us to quickly implement changes to our systems which increases the risk of non-compliance with new standards or the reduction of certain types of merchant activity. In addition, the payment networks could make changes to interchange or other elements of the pricing structure of the merchant acquiring industry that would have a negative impact on our results of operations.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create certain risks and may adversely affect our business, financial condition, or results of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actively acquired businesses and expect to continue to make acquisitions of businesses and assets in the future. The acquisition and integration of businesses and assets involve a number of risks. These risks include valuation (negotiating a fair price for the business and assets), integration (managing the process of integrating the acquired business' people, products, technology, and other assets to realize the projected value and synergies), regulatory (obtaining any applicable regulatory or other government approvals), and due diligence (identifying risks to the prospects of the business, including undisclosed or unknown liabilities or restrictions).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can subject us to a variety of other risks:</w:t>
      </w:r>
    </w:p>
    <w:p>
      <w:pPr>
        <w:spacing w:after="0" w:line="192" w:lineRule="exact"/>
        <w:rPr>
          <w:sz w:val="20"/>
          <w:szCs w:val="20"/>
          <w:color w:val="auto"/>
        </w:rPr>
      </w:pPr>
    </w:p>
    <w:p>
      <w:pPr>
        <w:ind w:left="660" w:right="20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integrate the benefits plans, duties and responsibilities and other factors of interest to management of employees of the acquired business, we could lose employees to our competitors in the region, which could significantly affect our ability to operate the business and complete the integration;</w:t>
      </w:r>
    </w:p>
    <w:p>
      <w:pPr>
        <w:spacing w:after="0" w:line="17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integration process causes any delays with the delivery of our services, or the quality of those services, we could lose customers to our competitors;</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may otherwise cause disruption to the acquired company's business and operations and relationships with financial institution sponsors, customers, merchants, employees and other partners;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and the related integration could divert the attention of our management from other strategic matters including possible acquisitions and alliances and planning for new product development or expansion into new markets for payments technology and software solutions;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integration of an acquired company's business and operations into ours may be greater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5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6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5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Worldwide financial market conditions, as well as various social and political tensions in the U.S. and around the world, may contribute to increased market volatility, may have long-term effects and may cause economic uncertainties or deterioration in the U.S. In addition, the fiscal and monetary policies of foreign nations, such as Russia and China, may have a severe impact on U.S. financial markets. We are monitoring the conflicts between Russia</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Ukraine and Israel and Hamas. While we do not expect that such conflicts will themselves be material to our business, geopolitical instability and adversity arising from such conflict (including additional conflicts that could arise from such conflicts), the imposition of sanctions, taxes and/or tariffs against one of the countries or their response to such sanctions (including retaliatory acts, such as cyber attacks and sanctions against other countries) could adversely affect the global economy or specific international, regional and domestic markets, which could have a material adverse effect on our business, results of operations or financial condition.</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new legislation that may be adopted in the U.S. could significantly affect the regulation of U.S. financial markets. Areas subject to potential change, amendment or repeal include the Dodd-Frank Act and the authority of the Federal Reserve Board and the FSOC. The U.S. may also potentially withdraw from or renegotiate various trade agreements and take other actions that would change current trade policies of the U.S. We cannot predict which, if any, of these actions will be taken or, if taken, their effect on the financial stability of the U.S.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FIs and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on various FIs to provide clearing services in connection with our settlement activities. If such FIs should stop providing clearing services, we must find other FIs to provide those services. Additionally, we rely on FIs to facilitate our B2B and money transmission services offerings. If we are unable to find a replacement financial institution, we may no longer be able to provide these services to certain customers, which could negatively affect our revenues, earnings and cash flows.</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also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by merchants or others could cause us to incur losses.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potential liability for fraudulent electronic payment transactions or credits initiated by merchants or others. Examples of merchant fraud include when a merchant or other party knowingly uses a stolen or counterfeit credit or debit card, card number, or other credentials to record a false sales or credit transaction, processes an invalid card, or intentionally fails to deliver the merchandise or services sold in an otherwise valid transaction. Criminals are using increasingly sophisticated methods to engage in illegal activities such as counterfeiting and fraud. Failure to effectively manage risk and prevent fraud could increase in the future. Increases in chargebacks or other liabilities could have a material adverse effect on our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liability when our merchants refuse or cannot reimburse us for chargebacks resolved in favor of their customers.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spacing w:after="0" w:line="184"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of the card networks, they could seek to fine us, suspend us or terminate our registrations for membership. If we incur fines or penalties for which our merchants or ISOs are responsible that we cannot collect, we may have to bear the cost of such fines or penalties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card association and network rules that could subject us to a variety of fines or penalties that may be levied by the card networks for certain acts or omissions. The rules of the card networks are set by the card networks themselves and may be influenced by card issuers, some of which are our competitors with respect to processing services. Many banks directly or indirectly sell processing services to merchants in direct competition with us. These banks could attempt, by virtue of their influence on the networks, to alter the networks' rules or policies to the detriment of non-members, including us. The termination of our registrations or our membership status as a service provider or merchant processor, or any changes in a card association or other network rules or standards, including interpretation and implementation of the rules or standards, that increase the cost of doing business or limit our ability to provide transaction processing services to our customers, could have a material adverse effect on our business, financial condition, results of operations and cash flows. If a merchant or an ISO fails to comply with the applicable requirements of the card associations and networks, we or the merchant or ISO could be subject to a variety of fines or penalties that may be levied by the card associations or networks. If we cannot collect or pursue collection of such amounts from the applicable merchant or ISO, we may have to bear the cost of such fines or penalties, resulting in lower earnings for us. The termination of our registration, or any changes in the Visa or Mastercard rules that would impair our registration, could require us to stop providing Visa and Mastercard payment processing services, which would make it impossible for us to conduct our business on its current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responsible for the actions of our vendors in some circumstances.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use third parties to provide services to us including IT related services and sales related functions. Should a cybersecurity related event or other act of negligence occur as a result of a third-party service provider, we may be liable for those 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Compliance and Tax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could have a material adverse effect on our business, financial condition or results of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affected by laws and regulations and examinations that affect us and our industries. Regulation and proposed regulation of the payments</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industry has increased significantly in recent years. Failure to comply with regulations or guidelines may result in the suspension or revocation of a license or registration, the limitation, suspension or termination of service, including money transmission services, and the imposition of civil and criminal penalties, including fines, or may cause customers or potential customers to be reluctant to do business with us, any of which could have an adverse effect on our financial condition.</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Interchange fees are subject to intense legal, regulatory and legislative scrutiny. In particular, the Dodd-Frank Act limits the amount of debit card fees charged by certain issuers, allowing merchants to set minimum dollar amounts for the acceptance of credit cards and allowing merchants to offer discounts or other incentives for different payment methods. These types of restrictions could negatively affect the number of debit transactions, which would</w:t>
      </w:r>
    </w:p>
    <w:p>
      <w:pPr>
        <w:spacing w:after="0" w:line="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adversely affect our business. The Dodd-Frank Act also created the CFPB, which has assumed responsibility for enforcing federal consumer protection laws, and the FSOC, which has the authority to determine whether any non-bank financial company, which may include us within the definitional scope, should be supervised by the Federal Reserve because it is systemically important to the U.S.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system. Any such designation would result in increased regulatory burdens on our business, which increases our risk profile and may have an adverse impact on our business, financial condition and results of operations.</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and many of our merchants may be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may also be subject to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Separately, the Housing Assistance Tax Act of 2008 included an amendment to the Internal Revenue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intellectual property and may be subject to infringement claims.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also be subject to costly litigation if our services and technology are alleged to infringe upon or otherwise violate a third 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results of operations and cash flows from operations.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or other sanctions, any of which could have a material adverse effect on our business, financial position, and results of operations.</w:t>
      </w:r>
    </w:p>
    <w:p>
      <w:pPr>
        <w:spacing w:after="0" w:line="2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Recently, federal bank regulators have increasingly focused on the risks related to bank and non-bank financial service company partnerships, raising concerns regarding risk management, oversight, internal controls, information security, change management, and information technology operational resilience. This focus is demonstrated by recent regulatory enforcement actions against banks that have allegedly not adequately addressed these concerns while growing their non-bank financial service offerings. Additionally, there are ongoing investigations by federal and state governmental entities concerning a prepaid debit card product program that was offered by the Company through an independent program manager. We could be subject to additional regulatory scrutiny with respect to that portion of our business that could have a material adverse effect on the business, financial condition, results of operations and growth prospects of the Company.</w:t>
      </w:r>
    </w:p>
    <w:p>
      <w:pPr>
        <w:spacing w:after="0" w:line="21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212"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or security failures in our information technology systems, including as a result of cybersecurity incidents, could create liability for us and/or limit our ability to effectively monitor, operate and control our operations and adversely affect our reputation, business, financial condition, results of operation and cash flows.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face risks related to cybersecurity, such as unauthorized access, cybersecurity attacks and other security incidents, which could adversely affect our business and operations. The Company relies upon operational and information systems, some of which are managed by third parties, to process, transmit and store electronic information and to manage or support a variety of our business processes, activities and products. Additionally, we collect and store sensitive data, including the personally identifiable information of our customers and employees, in data centers and on information systems (including systems that may be controlled or maintained by third parties). The Company’s business, and in particular, the debit card and cash management solutions business and global payments business, is dependent on its ability to process and monitor, on a daily basis, a large number of transactions, many of which are highly complex, across numerous and diverse markets. These transactions, as well as the information technology services provided to clients, often must adhere to client-specific guidelines, as well as legal and regulatory standards. Due to the breadth and geographical reach of the Company’s client base, developing and maintaining its operational and information systems and infrastructure is challenging, particularly as a result of rapidly evolving legal and regulatory requirements and technological shifts.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the Company continues to take protective measures to maintain the confidentiality, integrity and security of our operational and information systems and infrastructure, the techniques used in cyberattacks are becoming increasingly diverse and sophisticated. For example, the Company’s operational and information systems or infrastructure, or those of our third-party providers, may be vulnerable to unauthorized access, loss or destruction of data (including confidential client information), account takeovers, disruptions of service, computer viruses or other malicious code, cyberattacks and other incidents that could create a cybersecurity event, any of which could remain undetected for an extended period of time. Furthermore, the Company may not be able to ensure that all of its clients, suppliers, counterparties and other third parties have appropriate controls in place to protect themselves from cyberattacks or to protect the confidentiality of the information that they exchange with us, particularly where such information is transmitted by electronic means. Given the increasingly high volume of transactions, certain errors may be repeated or compounded before they can be discovered and rectified. In addition, the increasing reliance on information systems, and the occurrence and potential adverse impact of attacks on such systems, both generally and in the financial services industry, have encouraged increased government and regulatory scrutiny of the measures taken by companies to protect against cybersecurity threats and incidents. As these threats, incidents and government and regulatory oversight of associated risks continue to evolve, the Company may be required to expend additional resources to enhance or expand upon the security measures it currently maintains. Although the Company has developed, and continues to invest in, systems and processes that are designed to detect and prevent security breaches and cyberattacks, a breach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systems and global payments infrastructure or those of our non-bank financial service partners and processors could result in: losses to the Company and its customers; loss of business and/or customers; damage to its reputation; the incurrence of additional expenses (including the cost of notification to consumers, credit monitoring and forensics, and fees and fines imposed by the card networks); disruption to its business; an inability to grow its online services or other businesses; additional regulatory scrutiny or penalties; and/or exposure to civil litigation and possible financial liability — any of which could have a material adverse effect on the Company’s business, financial condition and results of operations. We have not encountered cybersecurity threats or incidents that have materially and adversely affected, or are reasonably likely to materially and adversely affect, the Company’s business, results of operations or financial condition; however, the impacts of such threats or incidents in the future may be material.</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While the Company maintains cybersecurity insurance, the costs related to cybersecurity threats or disruptions may not be fully insured. For information on our cybersecurity risk management, strategy and governance, see </w:t>
      </w:r>
      <w:r>
        <w:rPr>
          <w:rFonts w:ascii="Times New Roman" w:cs="Times New Roman" w:eastAsia="Times New Roman" w:hAnsi="Times New Roman"/>
          <w:sz w:val="18"/>
          <w:szCs w:val="18"/>
          <w:u w:val="single" w:color="auto"/>
          <w:color w:val="0000FF"/>
        </w:rPr>
        <w:t>Part I, 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substantial indebtedness.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a substantial amount of indebtedness and may incur other debt in the future. Our level of debt and the covenants to which we agreed could have negative consequences on us, including, among other things, (i) requiring us to dedicate a large portion of our cash flow from operations to servicing and repayment of the debt; (ii) limiting funds available for strategic initiatives and opportunities, working capital and other general corporate needs and (iii) limiting our ability to incur certain kinds or amounts of additional indebtedness, which could restrict our ability to react to changes in our business, our industry and economic conditions.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42424"/>
        </w:rPr>
        <w:t>Substantially all of our indebtedness is variable rate debt, primarily based on SOFR, which replaced LIBOR effective June 30, 2023. As a result of this variable rate debt, an increase in interest rates generally, such as those we have recently experienced, would adversely affect our profitability. We may enter into pay-fixed interest rate swaps or other derivative transactions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purchase equity interests;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or other investments;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credit agreement governing our revolving credit facility contains a total net leverage ratio financial covenant that is applicable when 35% or more of the revolving credit facility is drawn at quarter end. A breach of any of these covenants (or any other covenant in the documents governing our Credit and Guaranty Agreement) could result in a default or event of default under our Credit and Guaranty Agreement. If an event of default occurred,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and Guaranty Agreement. Any acceleration of amounts due under the Credit and Guaranty Agreement would likely have a material adverse effect on us.</w:t>
      </w:r>
    </w:p>
    <w:p>
      <w:pPr>
        <w:spacing w:after="0" w:line="18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Mr. Thomas Priore, our President, Chief Executive Officer and Chairman, controls the Company, and his interests may conflict with ours or yours in the future.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9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 the importance of maintaining the trust and confidence of the customers we serve, our business partners, employees and our stockholders and are committed to protecting the confidentiality, integrity and reliance of our business operations and systems. Effective data protection and cyber security practices, including responsible stewardship of our intellectual property and the secure processing, storage, maintenance and transmission of critical information by us and other third parties with whom we do business is vital to our operations. We have adopted policies and procedures with an intended design to identify, assess and manage risks associated with cybersecurity threats.</w:t>
      </w:r>
    </w:p>
    <w:p>
      <w:pPr>
        <w:spacing w:after="0" w:line="20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perform risk assessments periodically at both an enterprise level and system level in addition to assessments performed by third parties;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information security team performs threat monitoring services;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Internal Audit function performs annual reviews of selected systems and applications to test certain controls;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Independent consultants and auditors evaluate selected systems and applications on an annual basis;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perform risk assessments of third-party vendors and perform ongoing risk-based monitoring of those third parties; and</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maintain a business continuity plan for execution in the event of a cybersecurity incident.</w:t>
      </w:r>
    </w:p>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not experienced any material cybersecurity incidents in the past calendar years and the expenses we have incurred from cybersecurity incidents during that time were immaterial. We have not identified risks from known cybersecurity threats that have materially affected us, including our operations,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The Board oversees the Company’s overall risk framework including</w:t>
      </w:r>
    </w:p>
    <w:p>
      <w:pPr>
        <w:spacing w:after="0" w:line="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management’s implementation of our cybersecurity risk management program. The Board receives reports from the Chief Risk Officer on a regular basis on cybersecurity and information technology risk management.</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Our Company’s cybersecurity team, overseen by our Chief Information Security Officer (“CISO”) is responsible for assessing and managing our risks from cybersecurity threats, including defining our security policy and furnishing related information for Board reporting. The CISO approves all security policies</w:t>
      </w:r>
    </w:p>
    <w:p>
      <w:pPr>
        <w:spacing w:after="0" w:line="2"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and oversees the identification, assessment, and management of security risks. The CISO regularly reports to management’s SOX Committee which may elevate cybersecurity issues to the Board at any time.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from several offices throughout the U.S. and one office in India, all of which we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office locations include: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headquarters in Alpharetta, GA;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Hicksville,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New York,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Dallas, TX;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Houston, TX;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Chattanooga, TN;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San Francisco, CA;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Raleigh, NC;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Chandigarh, India.</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lease several small facilities for sales and operations. Our current facilities meet the needs of our employee base and can accommodate our currently contemplated growth.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involved in a case that was filed on October 11, 2023 and is currently pending in the United States District Court for the Northern District</w:t>
      </w:r>
    </w:p>
    <w:p>
      <w:pPr>
        <w:spacing w:after="0" w:line="50" w:lineRule="exact"/>
        <w:rPr>
          <w:sz w:val="20"/>
          <w:szCs w:val="20"/>
          <w:color w:val="auto"/>
        </w:rPr>
      </w:pPr>
    </w:p>
    <w:p>
      <w:pPr>
        <w:jc w:val="both"/>
        <w:ind w:right="340"/>
        <w:spacing w:after="0" w:line="290" w:lineRule="auto"/>
        <w:rPr>
          <w:sz w:val="20"/>
          <w:szCs w:val="20"/>
          <w:color w:val="auto"/>
        </w:rPr>
      </w:pPr>
      <w:r>
        <w:rPr>
          <w:rFonts w:ascii="Times New Roman" w:cs="Times New Roman" w:eastAsia="Times New Roman" w:hAnsi="Times New Roman"/>
          <w:sz w:val="17"/>
          <w:szCs w:val="17"/>
          <w:color w:val="auto"/>
        </w:rPr>
        <w:t>of California (the “Complaint”). The Complaint is a putative class action brought by Wyatt Miller d/b/a Hellam’s Tobacco and Wine Shop and Aguilar Auto Repair, LLC against The Credit Wholesale Company, Inc. (“Wholesale”), Priority Technology Holdings, Inc., Priority Payment Systems (“PPS”),</w:t>
      </w:r>
    </w:p>
    <w:p>
      <w:pPr>
        <w:ind w:right="200"/>
        <w:spacing w:after="0" w:line="281" w:lineRule="auto"/>
        <w:rPr>
          <w:sz w:val="20"/>
          <w:szCs w:val="20"/>
          <w:color w:val="auto"/>
        </w:rPr>
      </w:pPr>
      <w:r>
        <w:rPr>
          <w:rFonts w:ascii="Times New Roman" w:cs="Times New Roman" w:eastAsia="Times New Roman" w:hAnsi="Times New Roman"/>
          <w:sz w:val="18"/>
          <w:szCs w:val="18"/>
          <w:color w:val="auto"/>
        </w:rPr>
        <w:t>LLC and Wells Fargo Bank, N.A. (“Wells Fargo”). The Complaint alleges that Wholesale is an agent of Priority, PPS and Wells Fargo and that it made non-consensual recordation of telephonic communications with California businesses in violation of California Invasion of Privacy Act (the “Act”). The Complaint seeks to certify a class of affected businesses and an award of $5,000 per violation of the Act. As of March 12, 2024, the outcome of this legal proceeding is not probable nor is there any reasonable estimate of loss.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80"/>
        <w:spacing w:after="0" w:line="289" w:lineRule="auto"/>
        <w:rPr>
          <w:sz w:val="20"/>
          <w:szCs w:val="20"/>
          <w:color w:val="auto"/>
        </w:rPr>
      </w:pPr>
      <w:r>
        <w:rPr>
          <w:rFonts w:ascii="Times New Roman" w:cs="Times New Roman" w:eastAsia="Times New Roman" w:hAnsi="Times New Roman"/>
          <w:sz w:val="17"/>
          <w:szCs w:val="17"/>
          <w:color w:val="auto"/>
        </w:rPr>
        <w:t>On July 25, 2018, our Common Stock began trading on The Nasdaq Capital Market under the symbol "PRTH". As of March 7, 2024, we had 69 holders of record of our Common Stock. This figure does not include the number of persons whose securities are held in nominee or "street" name accounts through brokers. We have never declared or paid, and do not anticipate declaring or paying in the foreseeable future, any cash dividends on our Common Stock.</w:t>
      </w:r>
    </w:p>
    <w:p>
      <w:pPr>
        <w:sectPr>
          <w:pgSz w:w="11900" w:h="16838" w:orient="portrait"/>
          <w:cols w:equalWidth="0" w:num="1">
            <w:col w:w="11240"/>
          </w:cols>
          <w:pgMar w:left="320" w:top="121" w:right="339"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20" w:right="34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4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r>
      <w:tr>
        <w:trPr>
          <w:trHeight w:val="180"/>
        </w:trPr>
        <w:tc>
          <w:tcPr>
            <w:tcW w:w="23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40" w:type="dxa"/>
            <w:vAlign w:val="bottom"/>
          </w:tcPr>
          <w:p>
            <w:pPr>
              <w:spacing w:after="0"/>
              <w:rPr>
                <w:sz w:val="15"/>
                <w:szCs w:val="15"/>
                <w:color w:val="auto"/>
              </w:rPr>
            </w:pPr>
          </w:p>
        </w:tc>
        <w:tc>
          <w:tcPr>
            <w:tcW w:w="18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r>
      <w:tr>
        <w:trPr>
          <w:trHeight w:val="184"/>
        </w:trPr>
        <w:tc>
          <w:tcPr>
            <w:tcW w:w="23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40" w:type="dxa"/>
            <w:vAlign w:val="bottom"/>
          </w:tcPr>
          <w:p>
            <w:pPr>
              <w:spacing w:after="0"/>
              <w:rPr>
                <w:sz w:val="16"/>
                <w:szCs w:val="16"/>
                <w:color w:val="auto"/>
              </w:rPr>
            </w:pPr>
          </w:p>
        </w:tc>
        <w:tc>
          <w:tcPr>
            <w:tcW w:w="18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equity compensation plans (excluding</w:t>
            </w:r>
          </w:p>
        </w:tc>
      </w:tr>
      <w:tr>
        <w:trPr>
          <w:trHeight w:val="229"/>
        </w:trPr>
        <w:tc>
          <w:tcPr>
            <w:tcW w:w="236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(1)</w:t>
            </w:r>
          </w:p>
        </w:tc>
        <w:tc>
          <w:tcPr>
            <w:tcW w:w="2020" w:type="dxa"/>
            <w:vAlign w:val="bottom"/>
            <w:gridSpan w:val="3"/>
          </w:tcPr>
          <w:p>
            <w:pPr>
              <w:jc w:val="center"/>
              <w:ind w:right="140"/>
              <w:spacing w:after="0" w:line="230" w:lineRule="exact"/>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3"/>
                <w:szCs w:val="23"/>
                <w:b w:val="1"/>
                <w:bCs w:val="1"/>
                <w:color w:val="auto"/>
                <w:w w:val="98"/>
                <w:vertAlign w:val="superscript"/>
              </w:rPr>
              <w:t>(2)</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 the first column)</w:t>
            </w:r>
          </w:p>
        </w:tc>
      </w:tr>
      <w:tr>
        <w:trPr>
          <w:trHeight w:val="412"/>
        </w:trPr>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400,365</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40" w:type="dxa"/>
            <w:vAlign w:val="bottom"/>
          </w:tcPr>
          <w:p>
            <w:pPr>
              <w:spacing w:after="0"/>
              <w:rPr>
                <w:sz w:val="24"/>
                <w:szCs w:val="24"/>
                <w:color w:val="auto"/>
              </w:rPr>
            </w:pPr>
          </w:p>
        </w:tc>
        <w:tc>
          <w:tcPr>
            <w:tcW w:w="3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3,547,798</w:t>
            </w:r>
          </w:p>
        </w:tc>
      </w:tr>
      <w:tr>
        <w:trPr>
          <w:trHeight w:val="418"/>
        </w:trPr>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-539750</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180"/>
            <w:col w:w="7480"/>
          </w:cols>
          <w:pgMar w:left="320" w:top="121" w:right="339" w:bottom="1440" w:gutter="0" w:footer="0" w:header="0"/>
          <w:type w:val="continuous"/>
        </w:sectPr>
      </w:pPr>
    </w:p>
    <w:p>
      <w:pPr>
        <w:spacing w:after="0" w:line="62"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stock options and RSUs outstanding under the Company's 2018 Plan.</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set forth in this column is calculated for stock options outstanding and excludes outstanding RSU awards, since recipients are not required to pay an exercise price to receive the shares related to these awards.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made by the Company of its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(shares are in whole units):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40" w:type="dxa"/>
            <w:vAlign w:val="bottom"/>
          </w:tcPr>
          <w:p>
            <w:pPr>
              <w:spacing w:after="0"/>
              <w:rPr>
                <w:sz w:val="18"/>
                <w:szCs w:val="18"/>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0" w:type="dxa"/>
            <w:vAlign w:val="bottom"/>
          </w:tcPr>
          <w:p>
            <w:pPr>
              <w:spacing w:after="0"/>
              <w:rPr>
                <w:sz w:val="15"/>
                <w:szCs w:val="15"/>
                <w:color w:val="auto"/>
              </w:rPr>
            </w:pPr>
          </w:p>
        </w:tc>
        <w:tc>
          <w:tcPr>
            <w:tcW w:w="1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14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4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May Yet Be Purchased</w:t>
            </w:r>
          </w:p>
        </w:tc>
        <w:tc>
          <w:tcPr>
            <w:tcW w:w="0" w:type="dxa"/>
            <w:vAlign w:val="bottom"/>
          </w:tcPr>
          <w:p>
            <w:pPr>
              <w:spacing w:after="0"/>
              <w:rPr>
                <w:sz w:val="1"/>
                <w:szCs w:val="1"/>
                <w:color w:val="auto"/>
              </w:rPr>
            </w:pPr>
          </w:p>
        </w:tc>
      </w:tr>
      <w:tr>
        <w:trPr>
          <w:trHeight w:val="243"/>
        </w:trPr>
        <w:tc>
          <w:tcPr>
            <w:tcW w:w="2820" w:type="dxa"/>
            <w:vAlign w:val="bottom"/>
            <w:gridSpan w:val="2"/>
            <w:vMerge w:val="continue"/>
          </w:tcPr>
          <w:p>
            <w:pPr>
              <w:spacing w:after="0"/>
              <w:rPr>
                <w:sz w:val="21"/>
                <w:szCs w:val="21"/>
                <w:color w:val="auto"/>
              </w:rPr>
            </w:pP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w w:val="99"/>
              </w:rPr>
              <w:t>Shares Purchased</w:t>
            </w:r>
            <w:r>
              <w:rPr>
                <w:rFonts w:ascii="Times New Roman" w:cs="Times New Roman" w:eastAsia="Times New Roman" w:hAnsi="Times New Roman"/>
                <w:sz w:val="23"/>
                <w:szCs w:val="23"/>
                <w:b w:val="1"/>
                <w:bCs w:val="1"/>
                <w:color w:val="auto"/>
                <w:w w:val="99"/>
                <w:vertAlign w:val="superscript"/>
              </w:rPr>
              <w:t>(1)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 2023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690,626</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9"/>
                <w:szCs w:val="19"/>
                <w:color w:val="auto"/>
              </w:rPr>
            </w:pPr>
          </w:p>
        </w:tc>
        <w:tc>
          <w:tcPr>
            <w:tcW w:w="23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9"/>
              </w:rPr>
              <w:t>—</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690,626</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 2023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99"/>
              </w:rPr>
              <w:t>—</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690,626</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180" w:hanging="328"/>
        <w:spacing w:after="0" w:line="229" w:lineRule="auto"/>
        <w:tabs>
          <w:tab w:leader="none" w:pos="64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withheld to satisfy employees' tax withholding obligations in connection with the vesting of restricted stock awards. The number of shares withheld was determined based on the fair market value on the vesting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spacing w:after="0" w:line="258"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The following management's discussion and analysis of financial condition and results of operations should be read together with our audited financial statements and the related notes included elsewhere in this Annual Report on Form 10-K. This section of this Form 10-K generally discusses 2023 and 2022 items and year-over-year comparisons between 2023 and 2022. Discussions of 2021 items and year-over-year comparisons between 2022 and 2021 </w:t>
      </w:r>
      <w:hyperlink r:id="rId44">
        <w:r>
          <w:rPr>
            <w:rFonts w:ascii="Times New Roman" w:cs="Times New Roman" w:eastAsia="Times New Roman" w:hAnsi="Times New Roman"/>
            <w:sz w:val="18"/>
            <w:szCs w:val="18"/>
            <w:color w:val="auto"/>
          </w:rPr>
          <w:t xml:space="preserve">are not included in this Form 10-K, and can be found in </w:t>
        </w:r>
        <w:r>
          <w:rPr>
            <w:rFonts w:ascii="Times New Roman" w:cs="Times New Roman" w:eastAsia="Times New Roman" w:hAnsi="Times New Roman"/>
            <w:sz w:val="18"/>
            <w:szCs w:val="18"/>
            <w:u w:val="single" w:color="auto"/>
            <w:color w:val="0000FF"/>
          </w:rPr>
          <w:t>"Management's Discussion and Analysis of Financial Condition and Results of Operations" in Part</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II, Item 7 of the Company's Annual Report on Form 10-K for the year ended December 31, 2022.</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this section may not add mathematically due to rounding.</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and additional information about our three reportable segments, see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 contained in "</w:t>
      </w:r>
      <w:r>
        <w:rPr>
          <w:rFonts w:ascii="Times New Roman" w:cs="Times New Roman" w:eastAsia="Times New Roman" w:hAnsi="Times New Roman"/>
          <w:sz w:val="18"/>
          <w:szCs w:val="18"/>
          <w:u w:val="single" w:color="auto"/>
          <w:color w:val="0000FF"/>
        </w:rPr>
        <w:t>Item 8 -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 and Supplementary Data</w:t>
      </w:r>
      <w:r>
        <w:rPr>
          <w:rFonts w:ascii="Times New Roman" w:cs="Times New Roman" w:eastAsia="Times New Roman" w:hAnsi="Times New Roman"/>
          <w:sz w:val="18"/>
          <w:szCs w:val="18"/>
          <w:color w:val="000000"/>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section includes certain components of our results of operations for the years ended December 31, 2023 (or "2023"), December 31, 2022 (or "2022"). We have derived this data, except key indicators including merchant bankcard processing dollar values and transaction volumes (SMB Payments), issuing dollar volume and transaction count (B2B Payments), and average billed clients and new enrollments (Enterprise Payments), from our audited Consolidated Financial Statements included elsewhere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our consolidated revenue of $755.6 million increased by $92.0 million, or 13.9%, from $663.6 million for the year ended December 31, 2022. This overall increase was driven by increases in merchant card fee rates and equipment revenue, offset by a decrease in certain fee-based revenue, a true up of an invoice from one of the partner banks for certain services provided in Q1 2022 and a decline in processed merchant bankcard dollar value due to diversification of merchant portfolio by one of the referral partners in our SMB Payments segment, an increase in new enrollments and higher interest income in our Enterprise Payments segment and an increase in revenue from the Plastiq business acquired during the year offset by a decrease in revenue in B2B Payments segment due to the wind down of certain managed services programs in Q4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Revenues by type for 2023 and 2022 were as follows: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7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68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595,205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553,037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42,168</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26,601</w:t>
            </w: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2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19,973</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3,229</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755,612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663,641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91,971</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 Card Fees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our merchant card fees revenue of $595.2 million increased by $42.2 million, or 7.6%, from $553.0 million for the year ended December 31, 2022. This increase was primarily driven by revenue from the Plastiq business that was acquired during the year and merchant card fee rate increases. These increases were partially offset by a decrease in certain fee-based revenue, a true up of an invoice from one of the partner banks for certain services provided in Q1 2022 and a decline in processed merchant bankcard dollar value due to the diversification of processor services by one of the referral partners.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Money Transmission Services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Money transmission services revenue of $98.1 million for the year ended December 31, 2023 increased by $26.6 million or 37.2%, from $71.5 million for the year ended December 31, 2022 and is primarily driven by an increase in customer enrollments.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Outsourced Services and Other Services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Outsourced services and other services revenue of $49.6 million for the year ended December 31, 2023 increased by $20.0 million, or 67.4%, from $29.6 million for the year ended December 31, 2022. This increase was primarily due to growth in interest income due to higher interest rates and deposit balances, and additional revenues generated by our Passport platform, offset by decreased managed services revenue due to wind down of certain programs in Q4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Equipment revenue of $12.7 million for the year ended December 31, 2023, increased by $3.3 million, or 34.2%, from $9.4 million for the year ended December 31, 2022. The increase was primarily due to increased sales of point-of-sale equipment.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for 2023 and 2022 were as follows: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68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(excludes depreciation and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480,307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436,753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43,554</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79,974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14,897</w:t>
            </w: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68,395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(2,286)</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10,447</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674,088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607,476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66,612</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Costs of Services (excludes depreciation and amortization)</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Costs of services (excludes depreciation and amortization) of $480.3 million for the year ended December 31, 2023 increased by $43.6 million, or 10.0%, from $436.8 million for the year ended December 31, 2022, primarily due to the corresponding increase in revenues. For the year ended December 31, 2023, costs of services (excluding depreciation and amortization) as a percentage of total revenues decreased to 63.6% as compared to 65.8% for the year ended December 31, 2022. This decrease was primarily due to the increase in interest and money transmission revenues which do not have significant cost of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Salary and employee benefits</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Salary and employee benefits expense of $80.0 million for the year ended December 31, 2023 increased by $14.9 million, or 22.9%, from $65.1 million for the year ended December 31, 2022, primarily due to higher wages, an increase in stock-based compensation and increased headcount from acquisitions and to support overall growth of the Company. The Company's employee headcount increased to 983 in 2023 from 870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 expense</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$68.4 million for the year ended December 31, 2023 decreased by $2.3 million, or 3.2%, from $70.7 million for the year ended December 31, 2022, primarily due to full amortization of certain intangible assets partially offset by the depreciation of new assets placed in service.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of $45.4 million for the year ended December 31, 2023 increased by $10.4 million, or 29.9%, from $35.0 million for the year ended December 31, 2022, primarily due to certain nonrecurring expenses and other expenses to support overall growth of the Company. Nonrecurring expenses for the year primarily include PayRight restructuring costs of $3.5 million, expenses related to the acquisition of the Plastiq business of $1.7 million and certain legal and other costs of $3.0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 net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9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68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(76,108)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(22,554)</w:t>
            </w: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1,147</w:t>
            </w:r>
          </w:p>
        </w:tc>
      </w:tr>
      <w:tr>
        <w:trPr>
          <w:trHeight w:val="223"/>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(74,372)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(52,965)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(21,407)</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Interest expense of $76.1 million for the year ended December 31, 2023 increased by $22.5 million, or 42.1%, from $53.6 million for the year ended December 31, 2022, due to increased interest rates and higher debt balances to fund the acquisition of Plastiq in the third fiscal quarter of 2023. Other income, net of $1.7 million for the year ended December 31, 2023 increased by $1.1 million, or 194.7%, from $0.6 million for the year ended December 31, 2022, due to increased interest income from the Company's operating accounts.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Income tax expense</w:t>
            </w:r>
          </w:p>
        </w:tc>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9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4"/>
                <w:szCs w:val="24"/>
                <w:color w:val="auto"/>
              </w:rPr>
            </w:pPr>
          </w:p>
        </w:tc>
        <w:tc>
          <w:tcPr>
            <w:tcW w:w="28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144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8,463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118.3 %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167.2 %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from 2022 to 2023 is primarily due to a reduction in the amount of additional valuation allowance recorded against certain business interest carryover deferred tax assets.</w:t>
      </w:r>
    </w:p>
    <w:p>
      <w:pPr>
        <w:spacing w:after="0" w:line="162"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Our consolidated effective income tax rates differ from the statutory rate due to timing and permanent differences between amounts calculated under GAAP and the U.S. tax code. The consolidated effective income tax rate for 2023 may not be indicative of our effective tax rate for future periods.</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August 16, 2022, the U.S. government enacted the IRA into law. The IRA, among other provisions, implements a 15% corporate alternative minimum tax based on global adjusted financial statement income and a 1% excise tax on share repurchases, which took effect for tax years beginning after December 31, 2022. The IRA did not have a material effect on our reported results, cash flows, or financial position during 2023. If applicable in future periods, we expect to reflect the excise tax within equity as part of the repurchase price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Attributable to Common Shareholders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72"/>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68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242424"/>
              </w:rPr>
              <w:t>$ Change</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(36,880)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(10,864)</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(10,025)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Dividends and accretion attributable to redeemable senior preferred stockholders was $47.7 million for the year ended December 31, 2023, and was comprised of $18.0 million of accumulated dividends accrued as part of the carrying value of the redeemable senior preferred stock, $26.4 million of cash dividends, and $3.3 million related to accretion of discounts and issuance costs. The increase in dividends and accretion from 2022 to 2023 is due to an increase in the dividend rate for 2023 resulting from an increase in variable interest rates during the year and increase in carrying value of redeemable senior preferred stocks (as a result of accumulated accrued dividend).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SMB Payments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582,870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562,237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20,633</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536,388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507,371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29,017</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59,054,039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59,440,491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(386,452)</w:t>
            </w:r>
          </w:p>
        </w:tc>
        <w:tc>
          <w:tcPr>
            <w:tcW w:w="0" w:type="dxa"/>
            <w:vAlign w:val="bottom"/>
          </w:tcPr>
          <w:p>
            <w:pPr>
              <w:spacing w:after="0"/>
              <w:rPr>
                <w:sz w:val="1"/>
                <w:szCs w:val="1"/>
                <w:color w:val="auto"/>
              </w:rPr>
            </w:pPr>
          </w:p>
        </w:tc>
      </w:tr>
      <w:tr>
        <w:trPr>
          <w:trHeight w:val="23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696,203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636,576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59,627</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from our SMB Payments segment was $582.9 million for the year ended December 31, 2023, compared to $562.2 million for the year ended December 31, 2022. The increase of $20.6 million, or 3.7%, was primarily driven by merchant card fee rate increases, equipment revenue, and accrual of certain incentives, offset by a decrease in certain fee-based revenue, a true up of an invoice from one of the partner banks for certain services provided in Q1 2022 and a decline in processed merchant bankcard volume due to the diversification of processor services by one of its referral partners. The Company's merchant card fee revenue from the SMB Payments segment ($563.9 million for 2023 and $549.6 million for 2022) as a percentage of merchant bankcard processing dollar value during 2023 increased to 0.95% from 0.92% during 2022. The increase was primarily driven by an increase in incentive revenue and changes in the merchant mix.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from our SMB Payments segment was $46.5 million for the year ended December 31, 2023, compared to $54.9 million for the year ended December 31, 2022. The decrease of $8.4 million, or 15.3%, is due to a higher mix of volume growth from larger reseller partners with higher commissions of $3.2 million and an increase in other operating expenses. Increase in other operating expenses include a $5.7 million increase in salary and employee benefits due to higher headcount and stock-based compensation and a $2.3 million increase in selling, general and administrative expenses driven by higher travel and other operating costs which was offset by a decrease of $2.8 million in depreciation and amortization for assets fully depreciated and amortized in the prior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our SMB Payments segment was $41.0 million for the year ended December 31, 2023, compared to $43.9 million for the year ended December 31, 2022. The decrease of $2.9 million or 6.6% is due to full amortization of certain intangible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B2B Payments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18,890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21,836</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43,261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18,682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24,579</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B2B issuing dollar volume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851,948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814,964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36,984</w:t>
            </w:r>
          </w:p>
        </w:tc>
        <w:tc>
          <w:tcPr>
            <w:tcW w:w="0" w:type="dxa"/>
            <w:vAlign w:val="bottom"/>
          </w:tcPr>
          <w:p>
            <w:pPr>
              <w:spacing w:after="0"/>
              <w:rPr>
                <w:sz w:val="1"/>
                <w:szCs w:val="1"/>
                <w:color w:val="auto"/>
              </w:rPr>
            </w:pPr>
          </w:p>
        </w:tc>
      </w:tr>
      <w:tr>
        <w:trPr>
          <w:trHeight w:val="23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B2B issuing transaction count</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from our B2B Payments segment was $40.7 million for the year ended December 31, 2023, compared to $18.9 million for the year ended December 31, 2022. The increase of $21.8 million, or 115.6%, was primarily driven by an increase of $27.4 million in the Plastiq business and an increase of $1.7 million in the CPX business due to increased volumes. This increase was offset by a decrease of $7.3 million driven by the wind down of certain customer programs in the managed services business during Q4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loss from our B2B Payments segment was $2.5 million for the year ended December 31, 2023, compared to operating income of $0.2 million for the year ended December 31, 2022. This is primarily due to certain provisions for doubtful accounts in the CPX business, transaction bonuses in the Plastiq business, and loss of operating income from the managed services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Depreciation and amortization from our B2B Payments segment was $2.2 million for the year ended December 31, 2023, compared to $0.7 million depreciation and amortization expense for the year ended December 31, 2022. The increase in depreciation and amortization expense is primarily due to assets acquired from the acquisition of the Plastiq business in the 3rd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Payments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132,016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49,502</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58,052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51,577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73,964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43,027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billed clients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556,526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379,725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176,801</w:t>
            </w:r>
          </w:p>
        </w:tc>
        <w:tc>
          <w:tcPr>
            <w:tcW w:w="0" w:type="dxa"/>
            <w:vAlign w:val="bottom"/>
          </w:tcPr>
          <w:p>
            <w:pPr>
              <w:spacing w:after="0"/>
              <w:rPr>
                <w:sz w:val="1"/>
                <w:szCs w:val="1"/>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monthly new enrollments</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51,059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19,046</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Revenue from our Enterprise Payments segment was $132.0 million for the year ended December 31, 2023, compared to $82.5 million for the year ended December 31, 2022. The increase of $49.5 million, or 60.0%, was primarily driven by an increase in customer enrollments, additional revenues generated by our Passport BaaS platform, and growth in interest income due to higher deposit balances and higher returns on the permissible investments related to our money transmission licenses.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income from our Enterprise Payments segment was $74.0 million for the year ended December 31, 2023, compared to $30.9 million for the year ended December 31, 2022. The increase of $43.1 million, or 139.1%, was primarily driven by the increase in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from our Enterprise Payments segment was $23.8 million for the year ended December 31, 2023, compared to</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$24.9 million for the year ended December 31, 2022. The decrease of $1.1 million, or 4.6%, was primarily driven by full amortization of certain intangible assets in the prior year offset by depreciation expense on assets placed in service during the year.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 This is based upon management's estimates and assumptions regarding effects of micro and macro factors impacting the economic environment in which the Company operates on our financial results. Actual future results could differ materially, as the magnitude, duration and effects of changes in economic, political and market conditions are difficult to predict, and ultimately could negatively impact our liquidity and capital resources. Our principal uses of cash are to fund business operations (including capital expenditures and strategic investments) and administrative costs, and to service our debt.</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working capital, defined as current assets less current liabilities, was $29.2 million at December 31, 2023 and $22.5 million at December 31, 2022. As of December 31, 2023, we had cash and cash equivalents with a balance of $39.6 million compared to $18.5 million at December 31, 2022. These cash and cash equivalent balances do not include restricted cash of $11.9 million and $10.6 million at December 31, 2023 and December 31, 2022, respectively, which reflects cash accounts holding customer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settlement funds and cash reserves for potential losses. The current portion of long-term debt included in current liabilities was $6.7 million and $6.2 million at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had availability of approximately $65.0 million under our revolving credit arrangement.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and narrative reflect our changes in cash flows for the comparative annual periods.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2"/>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70,518</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$81.3 million and $70.5 million for the years ended December 31, 2023 and December 31, 2022, respectively. The $10.8 million, or 15.2% increase in 2023 was driven by changes in the operating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$55.7 million compared to cash used investing activities of $36.5 million for the years ended December 31, 2023 and 2022, respectively. Net cash used to acquire businesses in 2023 was $28.2 million compared to net cash used of $5.0 million in 2022. Additions to property, equipment and software was $21.3 million for 2023 compared to $18.9 million in 2022 and acquisitions of intangible assets was $6.6 million compared to $8.0 million in 2022. Net payments received of $0.4 million on loans to ISOs for the year ended December 31, 2023, compared to $4.7 million related to the funding of new loans to ISOs in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$210.1 million for the year ended December 31, 2023, compared to $8.5 million for the year ended December 31, 2022. The net cash provided by for 2023 included changes in the net obligations for funds held on the behalf of customers of $211.1 million, $49.8 million related to proceeds from the increase of the Term Facility and $44.0 million related to additional borrowings under the revolving credit facility. This was offset by $56.5 million of cash used for the repayment of borrowings under the revolving credit facility, $6.3 million of cash used for the repayment of the Term Facility, $24.7 million of cash dividends paid to redeemable senior preferred stockholders, $1.3 million of cash used for shares withheld for taxes, $4.7 million of payments of contingent consideration for business combinations and $1.2 million for debt issuance and modification costs paid related to the modification of the Term Facility and the revolving credit facility. The net cash provided by financing activities for 2022 included borrowings from the revolving credit facility of $29.5 million and changes in the net obligations for funds held on the behalf of customers of $43.1 million. These cash inflows were offset by cash used for the repayment of debt of $38.2 million, cash used for the repurchase of Common Stock of $7.5 million, dividends paid to redeemable senior preferred stockholders of $11.5 million and $7.0 million of payments of contingent consideration for business combinations.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For the year ended December 31, 2023, we had outstanding debt obligations, including the current portion and net of unamortized debt discount of $638.7 million, compared to $605.1 million for the year ended December 31, 2022, resulting in an increase of $33.6 million. The debt balance for the year ended December 31, 2023 consisted of funds outstanding under the term facility, offset by $15.7 million of unamortized debt discounts and issuance costs. There were no funds outstanding under the revolving credit facility as of December 31, 2023. Minimum amortization of the term facility are equal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installments in aggregate annual amounts equal to 1.0% of the original principal, with the balance paid upon maturity. The term facility matures in April 2027 and the revolving credit facility expires in April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Credit Agreement of the Company was amended to incorporate the following:</w:t>
      </w:r>
    </w:p>
    <w:p>
      <w:pPr>
        <w:spacing w:after="0" w:line="221" w:lineRule="exact"/>
        <w:rPr>
          <w:sz w:val="20"/>
          <w:szCs w:val="20"/>
          <w:color w:val="auto"/>
        </w:rPr>
      </w:pPr>
    </w:p>
    <w:p>
      <w:pPr>
        <w:ind w:left="660" w:right="120" w:hanging="328"/>
        <w:spacing w:after="0" w:line="25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 The reference rate for the calculation of interest on the Company’s term loan and revolving credit facility was amended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LIBOR to SOFR effective June 30, 2023. Per the amended terms, the outstanding borrowings under the Credit Agreement interest will accrue using the SOFR rate plus a term SOFR adjustment plus an applicable margin per year, subject to a SOFR floor of 1.00% per year. The applicable interest rate as of December 31, 2023, for the revolving credit facility based on one-month SOFR was 10.20% and for the term facility based on one-month SOFR was 11.21%.</w:t>
      </w:r>
    </w:p>
    <w:p>
      <w:pPr>
        <w:spacing w:after="0" w:line="179"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 in the revolving credit facility: </w:t>
      </w:r>
      <w:r>
        <w:rPr>
          <w:rFonts w:ascii="Times New Roman" w:cs="Times New Roman" w:eastAsia="Times New Roman" w:hAnsi="Times New Roman"/>
          <w:sz w:val="18"/>
          <w:szCs w:val="18"/>
          <w:color w:val="auto"/>
        </w:rPr>
        <w:t>The amendments also resulted in an increase in the Company’s revolving credit facility from $40.0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to $65.0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 2023, the Company modified its existing Term Facility Credit agreement with Truist. The agreement increased the principal balance by</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$50.0 million and increased the quarterly principal amortization payment from $1.6 million to $1.7 million. There were no other significant modifications to the Credit Agreement.</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less unrestricted cash to consolidated adjusted EBITDA (as defined in the Credit Agreement).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December 31, 2023,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test goodwill for impairment for each of our reporting units on an annual basis on October 1 or when events occur, or circumstances indicate the fair value of a reporting unit may be below its carrying value. We perform the annual assessment using the qualitative method. Where deemed appropriate, we may perform a quantitative assessment that uses market data and discounted cash flow analysis, which involve estimates of future revenues and operating cash flows. Changes in these estimates and assumptions or a significant decrease in earnings could materially affect the fair value of goodwill and could result in a goodwill impairment charge.</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annual impairment assessment for goodwill does not change our requirements to assess goodwill on an interim date between scheduled annual testing dates if triggering events are present.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review our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unamortized balance of the asset group.</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amortize the cost of our acquired intangible assets over their estimated useful lives using either a straight-line or an accelerated method that most accurately reflects the estimated pattern in which the economic benefit of the respective asset is consumed.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allocate the purchase price of an acquired business to the assets acquired and liabilities assumed based on their estimated fair values. The excess of the purchase price over the fair value of the net assets acquired is recorded as goodwill. For acquisitions that include contingent consideration, we estimate the fair value of contingent consideration at the acquisition date. The estimated fair value of contingent consideration is updated in future periods based on information available at that time. Management uses all available information when estimating the fair values of the assets acquired, liabilities assumed and contingent consideration, and must apply judgement and make certain assumptions when making these estimates. The assumptions management uses when determining fair values include estimated future cash flows or income, market rate assumptions, actuarial assumptions and discount rate assumptions. We typically engage third-party valuation advisors to assist in estimating the fair values of acquired assets and assumed liabilities. Our estimates of fair value are based upon assumptions the Company believes to be reasonable, but that are inherently uncertain, and therefore, may not be realized. Accordingly, there can be no assurance that the estimates, assumptions and values reflected in the valuations will be realized, and actual results could differ materially.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Our debt facilities under our Credit Agreement bear interest at either a base rate or a SOFR rate plus an applicable margin per year, subject to a SOFR rate floor of 1.00% per year. As of December 31, 2023, we had $654.4 million in outstanding borrowings under our Credit Agreement. Ignoring the 1.00% SOFR floor, a hypothetical 1.00% increase or decrease in the applicable SOFR rate on our outstanding indebtedness under the Credit Agreement would increase or decrease cash interest expense on our indebtedness by approximately $6.7 million per year. We do not currently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gridSpan w:val="4"/>
          </w:tcPr>
          <w:p>
            <w:pPr>
              <w:jc w:val="center"/>
              <w:ind w:left="499"/>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101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580" w:type="dxa"/>
            <w:vAlign w:val="bottom"/>
          </w:tcPr>
          <w:p>
            <w:pPr>
              <w:spacing w:after="0"/>
              <w:rPr>
                <w:sz w:val="17"/>
                <w:szCs w:val="17"/>
                <w:color w:val="auto"/>
              </w:rPr>
            </w:pPr>
          </w:p>
        </w:tc>
        <w:tc>
          <w:tcPr>
            <w:tcW w:w="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40</w:t>
            </w:r>
          </w:p>
        </w:tc>
        <w:tc>
          <w:tcPr>
            <w:tcW w:w="60" w:type="dxa"/>
            <w:vAlign w:val="bottom"/>
            <w:tcBorders>
              <w:top w:val="single" w:sz="8" w:color="auto"/>
            </w:tcBorders>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2023 and December 31, 2022</w:t>
            </w:r>
          </w:p>
        </w:tc>
        <w:tc>
          <w:tcPr>
            <w:tcW w:w="5020" w:type="dxa"/>
            <w:vAlign w:val="bottom"/>
            <w:gridSpan w:val="5"/>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43</w:t>
            </w:r>
          </w:p>
        </w:tc>
        <w:tc>
          <w:tcPr>
            <w:tcW w:w="60" w:type="dxa"/>
            <w:vAlign w:val="bottom"/>
          </w:tcPr>
          <w:p>
            <w:pPr>
              <w:spacing w:after="0"/>
              <w:rPr>
                <w:sz w:val="17"/>
                <w:szCs w:val="17"/>
                <w:color w:val="auto"/>
              </w:rPr>
            </w:pPr>
          </w:p>
        </w:tc>
      </w:tr>
      <w:tr>
        <w:trPr>
          <w:trHeight w:val="196"/>
        </w:trPr>
        <w:tc>
          <w:tcPr>
            <w:tcW w:w="78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Loss for the years ended December 31, 2023, 2022 and 2021</w:t>
            </w:r>
          </w:p>
        </w:tc>
        <w:tc>
          <w:tcPr>
            <w:tcW w:w="2300" w:type="dxa"/>
            <w:vAlign w:val="bottom"/>
            <w:gridSpan w:val="2"/>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44</w:t>
            </w:r>
          </w:p>
        </w:tc>
        <w:tc>
          <w:tcPr>
            <w:tcW w:w="60" w:type="dxa"/>
            <w:vAlign w:val="bottom"/>
          </w:tcPr>
          <w:p>
            <w:pPr>
              <w:spacing w:after="0"/>
              <w:rPr>
                <w:sz w:val="17"/>
                <w:szCs w:val="17"/>
                <w:color w:val="auto"/>
              </w:rPr>
            </w:pPr>
          </w:p>
        </w:tc>
      </w:tr>
      <w:tr>
        <w:trPr>
          <w:trHeight w:val="196"/>
        </w:trPr>
        <w:tc>
          <w:tcPr>
            <w:tcW w:w="95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Deficit and Non-Controlling Interests for the years ended December 31, 2023, 2022 and 2021</w:t>
            </w:r>
          </w:p>
        </w:tc>
        <w:tc>
          <w:tcPr>
            <w:tcW w:w="58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45</w:t>
            </w:r>
          </w:p>
        </w:tc>
        <w:tc>
          <w:tcPr>
            <w:tcW w:w="60" w:type="dxa"/>
            <w:vAlign w:val="bottom"/>
          </w:tcPr>
          <w:p>
            <w:pPr>
              <w:spacing w:after="0"/>
              <w:rPr>
                <w:sz w:val="17"/>
                <w:szCs w:val="17"/>
                <w:color w:val="auto"/>
              </w:rPr>
            </w:pPr>
          </w:p>
        </w:tc>
      </w:tr>
      <w:tr>
        <w:trPr>
          <w:trHeight w:val="196"/>
        </w:trPr>
        <w:tc>
          <w:tcPr>
            <w:tcW w:w="101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2023, 2022 and 2021</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47</w:t>
            </w:r>
          </w:p>
        </w:tc>
        <w:tc>
          <w:tcPr>
            <w:tcW w:w="60" w:type="dxa"/>
            <w:vAlign w:val="bottom"/>
          </w:tcPr>
          <w:p>
            <w:pPr>
              <w:spacing w:after="0"/>
              <w:rPr>
                <w:sz w:val="17"/>
                <w:szCs w:val="17"/>
                <w:color w:val="auto"/>
              </w:rPr>
            </w:pPr>
          </w:p>
        </w:tc>
      </w:tr>
      <w:tr>
        <w:trPr>
          <w:trHeight w:val="196"/>
        </w:trPr>
        <w:tc>
          <w:tcPr>
            <w:tcW w:w="62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r>
              <w:rPr>
                <w:rFonts w:ascii="Times New Roman" w:cs="Times New Roman" w:eastAsia="Times New Roman" w:hAnsi="Times New Roman"/>
                <w:sz w:val="16"/>
                <w:szCs w:val="16"/>
                <w:color w:val="000000"/>
              </w:rPr>
              <w:t>:</w:t>
            </w:r>
          </w:p>
        </w:tc>
        <w:tc>
          <w:tcPr>
            <w:tcW w:w="3940" w:type="dxa"/>
            <w:vAlign w:val="bottom"/>
            <w:gridSpan w:val="3"/>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49</w:t>
            </w:r>
          </w:p>
        </w:tc>
        <w:tc>
          <w:tcPr>
            <w:tcW w:w="6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1.</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Nature of Business and Significant Accounting Policies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49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2.</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Acquisitions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62</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3.</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Revenues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66</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4.</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Settlement Assets and Customer/Subscriber Account Balances and Related Obligations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68</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5.</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Notes Receivable</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69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6.</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Property, Equipment and Software</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70</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7.</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Goodwill and Other Intangible Assets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71</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8.</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Leases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73</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9.</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Accounts Payable and Accrued Expenses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74</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10.</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Debt Obligations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75</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11. Redeemable Senior Preferred Stock and Warrants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77</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12.</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Income Taxes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80</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13.</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Stockholders' Deficit</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82</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14.</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Stock-based Compensation</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83</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15.</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Employee Benefit Plans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86</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16.</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86</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17.</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Fair Value</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88</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18.</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Segment Information</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89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19.</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(Loss) Earnings per Common Share</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90</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20.</w:t>
            </w:r>
          </w:p>
        </w:tc>
        <w:tc>
          <w:tcPr>
            <w:tcW w:w="98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Subsequent Events</w:t>
            </w:r>
          </w:p>
        </w:tc>
        <w:tc>
          <w:tcPr>
            <w:tcW w:w="82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0000FF"/>
              </w:rPr>
              <w:t>91</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Priority Technology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Priority Technology Holdings, Inc. (the Company) as of December 31, 2023 and 2022, the related consolidated statements of operations and comprehensive loss, changes in stockholders' deficit and non-controlling interests and cash flows for each of the three years in the period ended December 31, 2023, and the related notes</w:t>
      </w:r>
      <w:r>
        <w:rPr>
          <w:sz w:val="1"/>
          <w:szCs w:val="1"/>
          <w:color w:val="auto"/>
        </w:rPr>
        <w:drawing>
          <wp:inline distT="0" distB="0" distL="0" distR="0">
            <wp:extent cx="25400" cy="857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400"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Plastiq</w:t>
      </w:r>
    </w:p>
    <w:p>
      <w:pPr>
        <w:spacing w:after="0" w:line="268"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more fully described in Note 2 of the consolidated financial statements, the Company completed its acquisition of</w:t>
      </w:r>
    </w:p>
    <w:p>
      <w:pPr>
        <w:spacing w:after="0" w:line="18" w:lineRule="exact"/>
        <w:rPr>
          <w:sz w:val="20"/>
          <w:szCs w:val="20"/>
          <w:color w:val="auto"/>
        </w:rPr>
      </w:pPr>
    </w:p>
    <w:p>
      <w:pPr>
        <w:ind w:left="1580" w:right="300" w:hanging="1559"/>
        <w:spacing w:after="0" w:line="237" w:lineRule="auto"/>
        <w:tabs>
          <w:tab w:leader="none" w:pos="15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substantially all of the assets of Plastiq, including the equity interests in Plastiq Canada, Inc. The purchase was completed on July 31, 2023 for total consideration of $37.0 million including $28.5 million in cash and the remaining consideration is in the nature of deferred or contingent consideration and certain equity interest in Plastiq, Powered by Priority, LLC. The acquisition was accounted for as a business combination. The Company’s accounting for the acquisition included determining the fair value of contingent consideration payments in addition to intangible assets acquired of $30.5 million, which primarily included customer relationships, referral partner relationships, tradename, and developed technology.</w:t>
      </w:r>
    </w:p>
    <w:p>
      <w:pPr>
        <w:spacing w:after="0" w:line="9" w:lineRule="exact"/>
        <w:rPr>
          <w:sz w:val="20"/>
          <w:szCs w:val="20"/>
          <w:color w:val="auto"/>
        </w:rPr>
      </w:pPr>
    </w:p>
    <w:p>
      <w:pPr>
        <w:jc w:val="both"/>
        <w:ind w:left="1580" w:right="320"/>
        <w:spacing w:after="0" w:line="256" w:lineRule="auto"/>
        <w:rPr>
          <w:sz w:val="20"/>
          <w:szCs w:val="20"/>
          <w:color w:val="auto"/>
        </w:rPr>
      </w:pPr>
      <w:r>
        <w:rPr>
          <w:rFonts w:ascii="Times New Roman" w:cs="Times New Roman" w:eastAsia="Times New Roman" w:hAnsi="Times New Roman"/>
          <w:sz w:val="17"/>
          <w:szCs w:val="17"/>
          <w:color w:val="auto"/>
        </w:rPr>
        <w:t>Auditing the Company’s accounting for the acquisition was complex due to the significant estimation uncertainty in determining the fair values of the contingent consideration payments as well as the fair value of the acquired intangible assets. The significant estimation was primarily due to the sensitivity of the respective fair values to the future performance of the acquired business.</w:t>
      </w:r>
    </w:p>
    <w:p>
      <w:pPr>
        <w:spacing w:after="0" w:line="2" w:lineRule="exact"/>
        <w:rPr>
          <w:sz w:val="20"/>
          <w:szCs w:val="20"/>
          <w:color w:val="auto"/>
        </w:rPr>
      </w:pPr>
    </w:p>
    <w:p>
      <w:pPr>
        <w:ind w:left="1580" w:right="540"/>
        <w:spacing w:after="0" w:line="256" w:lineRule="auto"/>
        <w:rPr>
          <w:sz w:val="20"/>
          <w:szCs w:val="20"/>
          <w:color w:val="auto"/>
        </w:rPr>
      </w:pPr>
      <w:r>
        <w:rPr>
          <w:rFonts w:ascii="Times New Roman" w:cs="Times New Roman" w:eastAsia="Times New Roman" w:hAnsi="Times New Roman"/>
          <w:sz w:val="17"/>
          <w:szCs w:val="17"/>
          <w:color w:val="auto"/>
        </w:rPr>
        <w:t>The significant underlying assumptions used to estimate the fair value of contingent consideration payments and intangible assets, included revenue and operating margin growth rates and prospective free cash flow from the operations of the acquired business, weighted average cost of capital, and royalty rate assumptions, as applicable. These assumptions relate to the future performance of the acquired business are forward-looking and could be affected by future economic and market conditions.</w:t>
      </w:r>
    </w:p>
    <w:p>
      <w:pPr>
        <w:spacing w:after="0" w:line="116"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more fully described in Note 2 of the consolidated financial statements, the Company completed its acquisition of</w:t>
      </w:r>
    </w:p>
    <w:p>
      <w:pPr>
        <w:spacing w:after="0" w:line="18" w:lineRule="exact"/>
        <w:rPr>
          <w:sz w:val="20"/>
          <w:szCs w:val="20"/>
          <w:color w:val="auto"/>
        </w:rPr>
      </w:pPr>
    </w:p>
    <w:p>
      <w:pPr>
        <w:ind w:left="1600" w:right="920" w:hanging="1579"/>
        <w:spacing w:after="0" w:line="234" w:lineRule="auto"/>
        <w:tabs>
          <w:tab w:leader="none" w:pos="15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Plastiq, Inc. during the year ended December 31, 2023 for total consideration of $37.0 million including $28.5 million in cash and the remaining consideration of $8.5 million was in the form of deferred or contingent consideration and certain equity interest in the acquiring entity. The acquisition was accounted for as a business combination. The Company’s accounting for the acquisition included determining the fair value of contingent consideration payments in addition to intangible assets acquired of $30 million, which primarily included customer relationships, referral partner relationships, tradename, and developed technology.</w:t>
      </w:r>
    </w:p>
    <w:p>
      <w:pPr>
        <w:spacing w:after="0" w:line="160" w:lineRule="exact"/>
        <w:rPr>
          <w:sz w:val="20"/>
          <w:szCs w:val="20"/>
          <w:color w:val="auto"/>
        </w:rPr>
      </w:pPr>
    </w:p>
    <w:p>
      <w:pPr>
        <w:ind w:left="1600" w:right="640"/>
        <w:spacing w:after="0" w:line="239" w:lineRule="auto"/>
        <w:rPr>
          <w:sz w:val="20"/>
          <w:szCs w:val="20"/>
          <w:color w:val="auto"/>
        </w:rPr>
      </w:pPr>
      <w:r>
        <w:rPr>
          <w:rFonts w:ascii="Times New Roman" w:cs="Times New Roman" w:eastAsia="Times New Roman" w:hAnsi="Times New Roman"/>
          <w:sz w:val="18"/>
          <w:szCs w:val="18"/>
          <w:color w:val="auto"/>
        </w:rPr>
        <w:t>Auditing the Company’s accounting for the acquisition was complex due to the significant estimation uncertainty in determining the fair values of the contingent consideration payments as well as the fair value of the acquired intangible assets. The significant estimation was primarily due to the sensitivity of the respective fair values to the future performance of the acquired business. The significant underlying assumptions used to estimate the fair value of contingent consideration payments and intangible assets, included revenue and operating margin growth rates and prospective free cash flow from the operations of the acquired entity, weighted average cost of capital, and royalty rate assumptions, as applicable. These assumptions relate to the future performance of the acquired business are forward-looking and could be affected by future economic and market conditions.</w:t>
      </w:r>
    </w:p>
    <w:p>
      <w:pPr>
        <w:spacing w:after="0" w:line="347" w:lineRule="exact"/>
        <w:rPr>
          <w:sz w:val="20"/>
          <w:szCs w:val="20"/>
          <w:color w:val="auto"/>
        </w:rPr>
      </w:pPr>
    </w:p>
    <w:p>
      <w:pPr>
        <w:ind w:left="20" w:right="58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How We Addressed </w:t>
      </w:r>
      <w:r>
        <w:rPr>
          <w:rFonts w:ascii="Times New Roman" w:cs="Times New Roman" w:eastAsia="Times New Roman" w:hAnsi="Times New Roman"/>
          <w:sz w:val="18"/>
          <w:szCs w:val="18"/>
          <w:color w:val="auto"/>
        </w:rPr>
        <w:t>To test the fair value of the contingent consideration payments and intangible assets identified, our audit procedures included,</w:t>
      </w:r>
      <w:r>
        <w:rPr>
          <w:rFonts w:ascii="Times New Roman" w:cs="Times New Roman" w:eastAsia="Times New Roman" w:hAnsi="Times New Roman"/>
          <w:sz w:val="18"/>
          <w:szCs w:val="18"/>
          <w:i w:val="1"/>
          <w:iCs w:val="1"/>
          <w:color w:val="auto"/>
        </w:rPr>
        <w:t xml:space="preserve"> the Matter in Our </w:t>
      </w:r>
      <w:r>
        <w:rPr>
          <w:rFonts w:ascii="Times New Roman" w:cs="Times New Roman" w:eastAsia="Times New Roman" w:hAnsi="Times New Roman"/>
          <w:sz w:val="18"/>
          <w:szCs w:val="18"/>
          <w:color w:val="auto"/>
        </w:rPr>
        <w:t>among others, evaluating the Company’s use of income approach and Monte Carlo simulation, as applicable, evaluating the</w:t>
      </w:r>
    </w:p>
    <w:p>
      <w:pPr>
        <w:spacing w:after="0" w:line="1" w:lineRule="exact"/>
        <w:rPr>
          <w:sz w:val="20"/>
          <w:szCs w:val="20"/>
          <w:color w:val="auto"/>
        </w:rPr>
      </w:pPr>
    </w:p>
    <w:p>
      <w:pPr>
        <w:ind w:left="1580" w:right="280" w:hanging="1559"/>
        <w:spacing w:after="0" w:line="236" w:lineRule="auto"/>
        <w:tabs>
          <w:tab w:leader="none" w:pos="156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significant assumptions, and evaluating the completeness and accuracy of underlying data supporting the significant assumptions. We involved our specialist to assist with our evaluation of the methodologies used by management’s expert and significant assumptions used in the valuation of the contingent consideration payments and intangible assets identified. For example, we compared the significant assumptions to current industry, market and economic trends, as well as historical results of the acquired businesses. We performed sensitivity analyses of the significant assumptions to evaluate the change in the fair value resulting from changes in the assumptions. We also evaluated the appropriateness of the Company’s disclosures included in Note 2 in relation to the acquisition.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Residual Commissions and Residual Commission Expenses</w:t>
      </w:r>
    </w:p>
    <w:p>
      <w:pPr>
        <w:spacing w:after="0" w:line="258"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Accrued residual commissions recorded by the Company and included on the Consolidated Balance Sheet were $33.0 million at</w:t>
      </w:r>
    </w:p>
    <w:p>
      <w:pPr>
        <w:ind w:left="20"/>
        <w:spacing w:after="0" w:line="219" w:lineRule="auto"/>
        <w:tabs>
          <w:tab w:leader="none" w:pos="15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December 31, 2023, and residual commission expenses included within costs of services on the Consolidated Statement of</w:t>
      </w:r>
    </w:p>
    <w:p>
      <w:pPr>
        <w:ind w:left="1580" w:right="180"/>
        <w:spacing w:after="0" w:line="220" w:lineRule="auto"/>
        <w:rPr>
          <w:sz w:val="20"/>
          <w:szCs w:val="20"/>
          <w:color w:val="auto"/>
        </w:rPr>
      </w:pPr>
      <w:r>
        <w:rPr>
          <w:rFonts w:ascii="Times New Roman" w:cs="Times New Roman" w:eastAsia="Times New Roman" w:hAnsi="Times New Roman"/>
          <w:sz w:val="17"/>
          <w:szCs w:val="17"/>
          <w:color w:val="auto"/>
        </w:rPr>
        <w:t>Operations were $415.1 million for the year ended December 31, 2023. As discussed in Note 1 of the consolidated financial statements, the Company accrues and pays commission expense for certain customer services and other services provided by its independent sales organizations (ISOs). Commissions are based on a percentage of the net revenues generated from the Company’s</w:t>
      </w:r>
    </w:p>
    <w:p>
      <w:pPr>
        <w:spacing w:after="0" w:line="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merchant customers, and these percentages vary based on the program type and transaction volume of each merchant.</w:t>
      </w:r>
    </w:p>
    <w:p>
      <w:pPr>
        <w:spacing w:after="0" w:line="7" w:lineRule="exact"/>
        <w:rPr>
          <w:sz w:val="20"/>
          <w:szCs w:val="20"/>
          <w:color w:val="auto"/>
        </w:rPr>
      </w:pPr>
    </w:p>
    <w:p>
      <w:pPr>
        <w:ind w:left="1580"/>
        <w:spacing w:after="0" w:line="220" w:lineRule="auto"/>
        <w:rPr>
          <w:sz w:val="20"/>
          <w:szCs w:val="20"/>
          <w:color w:val="auto"/>
        </w:rPr>
      </w:pPr>
      <w:r>
        <w:rPr>
          <w:rFonts w:ascii="Times New Roman" w:cs="Times New Roman" w:eastAsia="Times New Roman" w:hAnsi="Times New Roman"/>
          <w:sz w:val="18"/>
          <w:szCs w:val="18"/>
          <w:color w:val="auto"/>
        </w:rPr>
        <w:t>Auditing residual commissions was complex due to the non-standard nature of the pricing terms within the ISO contracts, the volume of contracts, the volume of transactions processed each month, and the degree of auditor judgment needed to design the nature and</w:t>
      </w:r>
    </w:p>
    <w:p>
      <w:pPr>
        <w:ind w:left="1580"/>
        <w:spacing w:after="0"/>
        <w:rPr>
          <w:sz w:val="20"/>
          <w:szCs w:val="20"/>
          <w:color w:val="auto"/>
        </w:rPr>
      </w:pPr>
      <w:r>
        <w:rPr>
          <w:rFonts w:ascii="Times New Roman" w:cs="Times New Roman" w:eastAsia="Times New Roman" w:hAnsi="Times New Roman"/>
          <w:sz w:val="18"/>
          <w:szCs w:val="18"/>
          <w:color w:val="auto"/>
        </w:rPr>
        <w:t>extent of audit procedures to obtain sufficient audit evidence.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7"/>
          <w:szCs w:val="17"/>
          <w:color w:val="auto"/>
        </w:rPr>
        <w:t>To test accrued residual commissions and residual commission expenses, our audit procedures included, among others, testing the completeness and accuracy of the underlying data supporting the commission calculations and the accuracy of the calculations. We</w:t>
      </w:r>
    </w:p>
    <w:p>
      <w:pPr>
        <w:spacing w:after="0" w:line="1" w:lineRule="exact"/>
        <w:rPr>
          <w:sz w:val="20"/>
          <w:szCs w:val="20"/>
          <w:color w:val="auto"/>
        </w:rPr>
      </w:pPr>
    </w:p>
    <w:p>
      <w:pPr>
        <w:sectPr>
          <w:pgSz w:w="11900" w:h="16838" w:orient="portrait"/>
          <w:cols w:equalWidth="0" w:num="2">
            <w:col w:w="1420" w:space="160"/>
            <w:col w:w="9600"/>
          </w:cols>
          <w:pgMar w:left="320" w:top="121" w:right="399" w:bottom="1440" w:gutter="0" w:footer="0" w:header="0"/>
          <w:type w:val="continuous"/>
        </w:sectPr>
      </w:pPr>
    </w:p>
    <w:p>
      <w:pPr>
        <w:ind w:left="20"/>
        <w:spacing w:after="0" w:line="220" w:lineRule="auto"/>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ind w:right="80"/>
        <w:spacing w:after="0" w:line="208" w:lineRule="auto"/>
        <w:rPr>
          <w:sz w:val="20"/>
          <w:szCs w:val="20"/>
          <w:color w:val="auto"/>
        </w:rPr>
      </w:pPr>
      <w:r>
        <w:rPr>
          <w:rFonts w:ascii="Times New Roman" w:cs="Times New Roman" w:eastAsia="Times New Roman" w:hAnsi="Times New Roman"/>
          <w:sz w:val="18"/>
          <w:szCs w:val="18"/>
          <w:color w:val="auto"/>
        </w:rPr>
        <w:t>selected a sample of monthly ISO payments and, for each sample item, we compared the pricing terms included in the calculation to the respective ISO contract or other source documents, recalculated the related expense and accrual, and agreed the commission payment to evidence of cash disbursement. Additionally, for these monthly ISO payments, we selected a sample of merchant</w:t>
      </w:r>
    </w:p>
    <w:p>
      <w:pPr>
        <w:spacing w:after="0" w:line="2" w:lineRule="exact"/>
        <w:rPr>
          <w:sz w:val="20"/>
          <w:szCs w:val="20"/>
          <w:color w:val="auto"/>
        </w:rPr>
      </w:pPr>
    </w:p>
    <w:p>
      <w:pPr>
        <w:sectPr>
          <w:pgSz w:w="11900" w:h="16838" w:orient="portrait"/>
          <w:cols w:equalWidth="0" w:num="2">
            <w:col w:w="860" w:space="720"/>
            <w:col w:w="9600"/>
          </w:cols>
          <w:pgMar w:left="320" w:top="121" w:right="399" w:bottom="1440" w:gutter="0" w:footer="0" w:header="0"/>
          <w:type w:val="continuous"/>
        </w:sectPr>
      </w:pPr>
    </w:p>
    <w:p>
      <w:pPr>
        <w:ind w:left="1580"/>
        <w:spacing w:after="0" w:line="211" w:lineRule="auto"/>
        <w:rPr>
          <w:sz w:val="20"/>
          <w:szCs w:val="20"/>
          <w:color w:val="auto"/>
        </w:rPr>
      </w:pPr>
      <w:r>
        <w:rPr>
          <w:rFonts w:ascii="Times New Roman" w:cs="Times New Roman" w:eastAsia="Times New Roman" w:hAnsi="Times New Roman"/>
          <w:sz w:val="18"/>
          <w:szCs w:val="18"/>
          <w:color w:val="auto"/>
        </w:rPr>
        <w:t>customers, obtained their monthly processing statements, which were generated by the Company’s third-party processors, and agreed the monthly payment volumes to the commission calculations.</w:t>
      </w:r>
    </w:p>
    <w:p>
      <w:pPr>
        <w:sectPr>
          <w:pgSz w:w="11900" w:h="16838" w:orient="portrait"/>
          <w:cols w:equalWidth="0" w:num="1">
            <w:col w:w="11180"/>
          </w:cols>
          <w:pgMar w:left="320" w:top="121" w:right="399" w:bottom="1440" w:gutter="0" w:footer="0" w:header="0"/>
          <w:type w:val="continuous"/>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79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$5,289 and $1,143,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78,113</w:t>
            </w:r>
          </w:p>
        </w:tc>
      </w:tr>
      <w:tr>
        <w:trPr>
          <w:trHeight w:val="229"/>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r>
      <w:tr>
        <w:trPr>
          <w:trHeight w:val="230"/>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 net of allowances of $0 and $0,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9"/>
        </w:trPr>
        <w:tc>
          <w:tcPr>
            <w:tcW w:w="79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Settlement assets and customer/subscriber account balances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532,018</w:t>
            </w:r>
          </w:p>
        </w:tc>
      </w:tr>
      <w:tr>
        <w:trPr>
          <w:trHeight w:val="223"/>
        </w:trPr>
        <w:tc>
          <w:tcPr>
            <w:tcW w:w="79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652,470</w:t>
            </w: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369,337</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288,794</w:t>
            </w: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r>
      <w:tr>
        <w:trPr>
          <w:trHeight w:val="223"/>
        </w:trPr>
        <w:tc>
          <w:tcPr>
            <w:tcW w:w="79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1,615,337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1,373,363</w:t>
            </w: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79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Senior Preferred Stock and Stockholders' Deficit</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35,979</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customer/subscriber account obligations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755,754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533,340</w:t>
            </w:r>
          </w:p>
        </w:tc>
      </w:tr>
      <w:tr>
        <w:trPr>
          <w:trHeight w:val="223"/>
        </w:trPr>
        <w:tc>
          <w:tcPr>
            <w:tcW w:w="7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630,001</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598,926</w:t>
            </w:r>
          </w:p>
        </w:tc>
      </w:tr>
      <w:tr>
        <w:trPr>
          <w:trHeight w:val="230"/>
        </w:trPr>
        <w:tc>
          <w:tcPr>
            <w:tcW w:w="7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w:t>
            </w:r>
          </w:p>
        </w:tc>
      </w:tr>
      <w:tr>
        <w:trPr>
          <w:trHeight w:val="223"/>
        </w:trPr>
        <w:tc>
          <w:tcPr>
            <w:tcW w:w="79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1,502,796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1,240,570</w:t>
            </w:r>
          </w:p>
        </w:tc>
      </w:tr>
      <w:tr>
        <w:trPr>
          <w:trHeight w:val="169"/>
        </w:trPr>
        <w:tc>
          <w:tcPr>
            <w:tcW w:w="79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Commitments and contingencies (</w:t>
            </w:r>
            <w:r>
              <w:rPr>
                <w:rFonts w:ascii="Times New Roman" w:cs="Times New Roman" w:eastAsia="Times New Roman" w:hAnsi="Times New Roman"/>
                <w:sz w:val="18"/>
                <w:szCs w:val="18"/>
                <w:color w:val="0000FF"/>
              </w:rPr>
              <w:t>Note 16</w:t>
            </w: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senior preferred stock, net of discounts and issuance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Redeemable senior preferred stock, $0.001 par value per share; 250,000 shares authorized; 225,000 issued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235,579</w:t>
            </w: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per share; 100,000,000 shares authorized; none issued or outstanding at</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December 31, 2023 and December 31, 2022</w:t>
            </w:r>
          </w:p>
        </w:tc>
        <w:tc>
          <w:tcPr>
            <w:tcW w:w="4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96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per share; 1,000,000,000 shares authorized; 79,589,055 and 78,385,685</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4"/>
        </w:trPr>
        <w:tc>
          <w:tcPr>
            <w:tcW w:w="7960" w:type="dxa"/>
            <w:vAlign w:val="bottom"/>
            <w:gridSpan w:val="3"/>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shares issued at December 31, 2023 and December 31, 2022, respectively; and 76,956,889 and 76,044,629</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4"/>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at December 31, 2023 and December 31, 2022, respectively.</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2,632,166 and 2,341,056 shares at December 31, 2023 and December 31, 2022,</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r>
      <w:tr>
        <w:trPr>
          <w:trHeight w:val="230"/>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r>
      <w:tr>
        <w:trPr>
          <w:trHeight w:val="229"/>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(102,208)</w:t>
            </w:r>
          </w:p>
        </w:tc>
      </w:tr>
      <w:tr>
        <w:trPr>
          <w:trHeight w:val="223"/>
        </w:trPr>
        <w:tc>
          <w:tcPr>
            <w:tcW w:w="79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deficit attributable to stockholders of PRTH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(104,041)</w:t>
            </w:r>
          </w:p>
        </w:tc>
      </w:tr>
      <w:tr>
        <w:trPr>
          <w:trHeight w:val="230"/>
        </w:trPr>
        <w:tc>
          <w:tcPr>
            <w:tcW w:w="7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 in consolidated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3"/>
        </w:trPr>
        <w:tc>
          <w:tcPr>
            <w:tcW w:w="796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(146,064)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(102,786)</w:t>
            </w:r>
          </w:p>
        </w:tc>
      </w:tr>
      <w:tr>
        <w:trPr>
          <w:trHeight w:val="248"/>
        </w:trPr>
        <w:tc>
          <w:tcPr>
            <w:tcW w:w="796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redeemable senior preferred stock and stockholders' deficit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1,615,337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1,373,363</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755,612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514,901</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services (excludes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480,307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359,885</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43,818</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49,697</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674,088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607,476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481,808</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81,524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(36,485)</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 and investment</w:t>
            </w:r>
          </w:p>
        </w:tc>
        <w:tc>
          <w:tcPr>
            <w:tcW w:w="3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NCI preferred unit redemptions, net of deferred tax benefit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(49,055)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(39,030)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(24,641)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71,902</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and Non-Controlling Interests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27" w:lineRule="exact"/>
        <w:rPr>
          <w:sz w:val="20"/>
          <w:szCs w:val="20"/>
          <w:color w:val="auto"/>
        </w:rPr>
      </w:pPr>
    </w:p>
    <w:tbl>
      <w:tblPr>
        <w:tblLayout w:type="fixed"/>
        <w:tblInd w:w="370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80" w:type="dxa"/>
            <w:vAlign w:val="bottom"/>
            <w:vMerge w:val="restart"/>
          </w:tcPr>
          <w:p>
            <w:pPr>
              <w:jc w:val="center"/>
              <w:ind w:right="659"/>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20" w:type="dxa"/>
            <w:vAlign w:val="bottom"/>
            <w:vMerge w:val="restart"/>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00" w:type="dxa"/>
            <w:vAlign w:val="bottom"/>
            <w:tcBorders>
              <w:bottom w:val="single" w:sz="8" w:color="auto"/>
            </w:tcBorders>
            <w:gridSpan w:val="2"/>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80" w:type="dxa"/>
            <w:vAlign w:val="bottom"/>
            <w:vMerge w:val="restart"/>
          </w:tcPr>
          <w:p>
            <w:pPr>
              <w:jc w:val="center"/>
              <w:ind w:right="659"/>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02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0" w:type="dxa"/>
            <w:vAlign w:val="bottom"/>
          </w:tcPr>
          <w:p>
            <w:pPr>
              <w:spacing w:after="0" w:line="20" w:lineRule="exact"/>
              <w:rPr>
                <w:sz w:val="1"/>
                <w:szCs w:val="1"/>
                <w:color w:val="auto"/>
              </w:rPr>
            </w:pPr>
          </w:p>
        </w:tc>
      </w:tr>
      <w:tr>
        <w:trPr>
          <w:trHeight w:val="212"/>
        </w:trPr>
        <w:tc>
          <w:tcPr>
            <w:tcW w:w="7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NCIs</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January 1, 2021</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Equity-classified stock-based compensation</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Vesting of stock-based compensation</w:t>
      </w:r>
    </w:p>
    <w:p>
      <w:pPr>
        <w:spacing w:after="0" w:line="23" w:lineRule="exact"/>
        <w:rPr>
          <w:sz w:val="20"/>
          <w:szCs w:val="20"/>
          <w:color w:val="auto"/>
        </w:rPr>
      </w:pPr>
    </w:p>
    <w:p>
      <w:pPr>
        <w:ind w:left="160" w:right="140"/>
        <w:spacing w:after="0" w:line="234" w:lineRule="auto"/>
        <w:rPr>
          <w:sz w:val="20"/>
          <w:szCs w:val="20"/>
          <w:color w:val="auto"/>
        </w:rPr>
      </w:pPr>
      <w:r>
        <w:rPr>
          <w:rFonts w:ascii="Times New Roman" w:cs="Times New Roman" w:eastAsia="Times New Roman" w:hAnsi="Times New Roman"/>
          <w:sz w:val="18"/>
          <w:szCs w:val="18"/>
          <w:color w:val="auto"/>
        </w:rPr>
        <w:t>Liability-classified stock-based compensation converted to equity-classified</w:t>
      </w:r>
    </w:p>
    <w:p>
      <w:pPr>
        <w:spacing w:after="0" w:line="10" w:lineRule="exact"/>
        <w:rPr>
          <w:sz w:val="20"/>
          <w:szCs w:val="20"/>
          <w:color w:val="auto"/>
        </w:rPr>
      </w:pPr>
    </w:p>
    <w:p>
      <w:pPr>
        <w:ind w:left="160" w:right="1460"/>
        <w:spacing w:after="0" w:line="284" w:lineRule="auto"/>
        <w:rPr>
          <w:sz w:val="20"/>
          <w:szCs w:val="20"/>
          <w:color w:val="auto"/>
        </w:rPr>
      </w:pPr>
      <w:r>
        <w:rPr>
          <w:rFonts w:ascii="Times New Roman" w:cs="Times New Roman" w:eastAsia="Times New Roman" w:hAnsi="Times New Roman"/>
          <w:sz w:val="17"/>
          <w:szCs w:val="17"/>
          <w:color w:val="auto"/>
        </w:rPr>
        <w:t>Issuance of Common Stock Exercise of stock options</w:t>
      </w:r>
    </w:p>
    <w:p>
      <w:pPr>
        <w:spacing w:after="0" w:line="1" w:lineRule="exact"/>
        <w:rPr>
          <w:sz w:val="20"/>
          <w:szCs w:val="20"/>
          <w:color w:val="auto"/>
        </w:rPr>
      </w:pPr>
    </w:p>
    <w:p>
      <w:pPr>
        <w:ind w:left="160" w:right="160"/>
        <w:spacing w:after="0" w:line="234" w:lineRule="auto"/>
        <w:rPr>
          <w:sz w:val="20"/>
          <w:szCs w:val="20"/>
          <w:color w:val="auto"/>
        </w:rPr>
      </w:pPr>
      <w:r>
        <w:rPr>
          <w:rFonts w:ascii="Times New Roman" w:cs="Times New Roman" w:eastAsia="Times New Roman" w:hAnsi="Times New Roman"/>
          <w:sz w:val="18"/>
          <w:szCs w:val="18"/>
          <w:color w:val="auto"/>
        </w:rPr>
        <w:t>Fair value of NCI preferred units redemption, net of deferred tax benefit</w:t>
      </w:r>
    </w:p>
    <w:p>
      <w:pPr>
        <w:spacing w:after="0" w:line="10" w:lineRule="exact"/>
        <w:rPr>
          <w:sz w:val="20"/>
          <w:szCs w:val="20"/>
          <w:color w:val="auto"/>
        </w:rPr>
      </w:pPr>
    </w:p>
    <w:p>
      <w:pPr>
        <w:ind w:left="160" w:right="260"/>
        <w:spacing w:after="0" w:line="237" w:lineRule="auto"/>
        <w:rPr>
          <w:sz w:val="20"/>
          <w:szCs w:val="20"/>
          <w:color w:val="auto"/>
        </w:rPr>
      </w:pPr>
      <w:r>
        <w:rPr>
          <w:rFonts w:ascii="Times New Roman" w:cs="Times New Roman" w:eastAsia="Times New Roman" w:hAnsi="Times New Roman"/>
          <w:sz w:val="18"/>
          <w:szCs w:val="18"/>
          <w:color w:val="auto"/>
        </w:rPr>
        <w:t>Fair value of common shares issued for NCI redemption</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 repurchases and shares withheld of taxes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Warrants issued</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Dividends on redeemable senior preferred stock</w:t>
      </w:r>
    </w:p>
    <w:p>
      <w:pPr>
        <w:spacing w:after="0" w:line="34" w:lineRule="exact"/>
        <w:rPr>
          <w:sz w:val="20"/>
          <w:szCs w:val="20"/>
          <w:color w:val="auto"/>
        </w:rPr>
      </w:pPr>
    </w:p>
    <w:p>
      <w:pPr>
        <w:ind w:left="160" w:right="280"/>
        <w:spacing w:after="0" w:line="234" w:lineRule="auto"/>
        <w:rPr>
          <w:sz w:val="20"/>
          <w:szCs w:val="20"/>
          <w:color w:val="auto"/>
        </w:rPr>
      </w:pPr>
      <w:r>
        <w:rPr>
          <w:rFonts w:ascii="Times New Roman" w:cs="Times New Roman" w:eastAsia="Times New Roman" w:hAnsi="Times New Roman"/>
          <w:sz w:val="18"/>
          <w:szCs w:val="18"/>
          <w:color w:val="auto"/>
        </w:rPr>
        <w:t>Accretion of unamortized issuance costs for redeemable senior preferred stock</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Change in estimate of tax basis differences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income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31" w:lineRule="exact"/>
        <w:rPr>
          <w:sz w:val="20"/>
          <w:szCs w:val="20"/>
          <w:color w:val="auto"/>
        </w:rPr>
      </w:pPr>
    </w:p>
    <w:p>
      <w:pPr>
        <w:ind w:left="160" w:right="280"/>
        <w:spacing w:after="0" w:line="284" w:lineRule="auto"/>
        <w:rPr>
          <w:sz w:val="20"/>
          <w:szCs w:val="20"/>
          <w:color w:val="auto"/>
        </w:rPr>
      </w:pPr>
      <w:r>
        <w:rPr>
          <w:rFonts w:ascii="Times New Roman" w:cs="Times New Roman" w:eastAsia="Times New Roman" w:hAnsi="Times New Roman"/>
          <w:sz w:val="17"/>
          <w:szCs w:val="17"/>
          <w:color w:val="auto"/>
        </w:rPr>
        <w:t>Equity-classified stock-based compensation Vesting of stock-based compensation</w:t>
      </w:r>
    </w:p>
    <w:p>
      <w:pPr>
        <w:spacing w:after="0" w:line="1" w:lineRule="exact"/>
        <w:rPr>
          <w:sz w:val="20"/>
          <w:szCs w:val="20"/>
          <w:color w:val="auto"/>
        </w:rPr>
      </w:pPr>
    </w:p>
    <w:p>
      <w:pPr>
        <w:ind w:left="160" w:right="280"/>
        <w:spacing w:after="0" w:line="234" w:lineRule="auto"/>
        <w:rPr>
          <w:sz w:val="20"/>
          <w:szCs w:val="20"/>
          <w:color w:val="auto"/>
        </w:rPr>
      </w:pPr>
      <w:r>
        <w:rPr>
          <w:rFonts w:ascii="Times New Roman" w:cs="Times New Roman" w:eastAsia="Times New Roman" w:hAnsi="Times New Roman"/>
          <w:sz w:val="18"/>
          <w:szCs w:val="18"/>
          <w:color w:val="auto"/>
        </w:rPr>
        <w:t>Issuance of profit interests in wholly-owned subsidiaries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 repurchases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Dividends on redeemable senior preferred stock</w:t>
      </w:r>
    </w:p>
    <w:p>
      <w:pPr>
        <w:spacing w:after="0" w:line="34" w:lineRule="exact"/>
        <w:rPr>
          <w:sz w:val="20"/>
          <w:szCs w:val="20"/>
          <w:color w:val="auto"/>
        </w:rPr>
      </w:pPr>
    </w:p>
    <w:p>
      <w:pPr>
        <w:ind w:left="160" w:right="280"/>
        <w:spacing w:after="0" w:line="234" w:lineRule="auto"/>
        <w:rPr>
          <w:sz w:val="20"/>
          <w:szCs w:val="20"/>
          <w:color w:val="auto"/>
        </w:rPr>
      </w:pPr>
      <w:r>
        <w:rPr>
          <w:rFonts w:ascii="Times New Roman" w:cs="Times New Roman" w:eastAsia="Times New Roman" w:hAnsi="Times New Roman"/>
          <w:sz w:val="18"/>
          <w:szCs w:val="18"/>
          <w:color w:val="auto"/>
        </w:rPr>
        <w:t>Accretion of unamortized issuance costs for redeemable senior preferred stock</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67,391</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(2,388)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(98,564)</w:t>
            </w:r>
          </w:p>
        </w:tc>
      </w:tr>
      <w:tr>
        <w:trPr>
          <w:trHeight w:val="230"/>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6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60" w:type="dxa"/>
            <w:vAlign w:val="bottom"/>
          </w:tcPr>
          <w:p>
            <w:pPr>
              <w:spacing w:after="0"/>
              <w:rPr>
                <w:sz w:val="19"/>
                <w:szCs w:val="19"/>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3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31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34,388</w:t>
            </w:r>
          </w:p>
        </w:tc>
      </w:tr>
      <w:tr>
        <w:trPr>
          <w:trHeight w:val="23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3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r>
      <w:tr>
        <w:trPr>
          <w:trHeight w:val="418"/>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r>
      <w:tr>
        <w:trPr>
          <w:trHeight w:val="31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(1,703)</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2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26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60" w:type="dxa"/>
            <w:vAlign w:val="bottom"/>
          </w:tcPr>
          <w:p>
            <w:pPr>
              <w:spacing w:after="0"/>
              <w:rPr>
                <w:sz w:val="19"/>
                <w:szCs w:val="19"/>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r>
      <w:tr>
        <w:trPr>
          <w:trHeight w:val="23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2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6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r>
      <w:tr>
        <w:trPr>
          <w:trHeight w:val="3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31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4"/>
        </w:trPr>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18"/>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76,740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(4,091)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39,835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(100,058)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(64,237)</w:t>
            </w:r>
          </w:p>
        </w:tc>
      </w:tr>
      <w:tr>
        <w:trPr>
          <w:trHeight w:val="230"/>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6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60" w:type="dxa"/>
            <w:vAlign w:val="bottom"/>
          </w:tcPr>
          <w:p>
            <w:pPr>
              <w:spacing w:after="0"/>
              <w:rPr>
                <w:sz w:val="19"/>
                <w:szCs w:val="19"/>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23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31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(7,468)</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3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2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16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r>
      <w:tr>
        <w:trPr>
          <w:trHeight w:val="3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3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-3942715</wp:posOffset>
            </wp:positionV>
            <wp:extent cx="710628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-3642360</wp:posOffset>
            </wp:positionV>
            <wp:extent cx="710628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-3230880</wp:posOffset>
            </wp:positionV>
            <wp:extent cx="710628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-2939415</wp:posOffset>
            </wp:positionV>
            <wp:extent cx="710628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-2407920</wp:posOffset>
            </wp:positionV>
            <wp:extent cx="71062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-2116455</wp:posOffset>
            </wp:positionV>
            <wp:extent cx="710628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-1705610</wp:posOffset>
            </wp:positionV>
            <wp:extent cx="71062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-1414145</wp:posOffset>
            </wp:positionV>
            <wp:extent cx="710628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-1113790</wp:posOffset>
            </wp:positionV>
            <wp:extent cx="71062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-702310</wp:posOffset>
            </wp:positionV>
            <wp:extent cx="71062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-410845</wp:posOffset>
            </wp:positionV>
            <wp:extent cx="7106285"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100"/>
            <w:col w:w="75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and Non-Controlling Interests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8" w:lineRule="exact"/>
        <w:rPr>
          <w:sz w:val="20"/>
          <w:szCs w:val="20"/>
          <w:color w:val="auto"/>
        </w:rPr>
      </w:pPr>
    </w:p>
    <w:tbl>
      <w:tblPr>
        <w:tblLayout w:type="fixed"/>
        <w:tblInd w:w="378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vMerge w:val="restart"/>
          </w:tcPr>
          <w:p>
            <w:pPr>
              <w:jc w:val="center"/>
              <w:ind w:right="639"/>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40" w:type="dxa"/>
            <w:vAlign w:val="bottom"/>
            <w:vMerge w:val="restart"/>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40" w:type="dxa"/>
            <w:vAlign w:val="bottom"/>
            <w:tcBorders>
              <w:bottom w:val="single" w:sz="8" w:color="auto"/>
            </w:tcBorders>
            <w:gridSpan w:val="2"/>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80" w:type="dxa"/>
            <w:vAlign w:val="bottom"/>
          </w:tcPr>
          <w:p>
            <w:pPr>
              <w:jc w:val="center"/>
              <w:ind w:right="639"/>
              <w:spacing w:after="0" w:line="142"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APIC   AOCI</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NCIs</w:t>
            </w:r>
          </w:p>
        </w:tc>
        <w:tc>
          <w:tcPr>
            <w:tcW w:w="5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Equity-classified stock-based compensation</w:t>
      </w:r>
    </w:p>
    <w:p>
      <w:pPr>
        <w:spacing w:after="0" w:line="27" w:lineRule="exact"/>
        <w:rPr>
          <w:sz w:val="20"/>
          <w:szCs w:val="20"/>
          <w:color w:val="auto"/>
        </w:rPr>
      </w:pPr>
    </w:p>
    <w:p>
      <w:pPr>
        <w:ind w:left="160" w:right="40"/>
        <w:spacing w:after="0" w:line="234" w:lineRule="auto"/>
        <w:rPr>
          <w:sz w:val="20"/>
          <w:szCs w:val="20"/>
          <w:color w:val="auto"/>
        </w:rPr>
      </w:pPr>
      <w:r>
        <w:rPr>
          <w:rFonts w:ascii="Times New Roman" w:cs="Times New Roman" w:eastAsia="Times New Roman" w:hAnsi="Times New Roman"/>
          <w:sz w:val="18"/>
          <w:szCs w:val="18"/>
          <w:color w:val="auto"/>
        </w:rPr>
        <w:t>ESPP compensation and vesting of stock-based compensation</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p>
      <w:pPr>
        <w:spacing w:after="0" w:line="27"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Dividends on redeemable senior preferred stock Accretion of redeemable senior preferred stock Adjustments to NCI</w:t>
      </w:r>
    </w:p>
    <w:p>
      <w:pPr>
        <w:ind w:left="160" w:right="200"/>
        <w:spacing w:after="0" w:line="234" w:lineRule="auto"/>
        <w:rPr>
          <w:sz w:val="20"/>
          <w:szCs w:val="20"/>
          <w:color w:val="auto"/>
        </w:rPr>
      </w:pPr>
      <w:r>
        <w:rPr>
          <w:rFonts w:ascii="Times New Roman" w:cs="Times New Roman" w:eastAsia="Times New Roman" w:hAnsi="Times New Roman"/>
          <w:sz w:val="18"/>
          <w:szCs w:val="18"/>
          <w:color w:val="auto"/>
        </w:rPr>
        <w:t>Issuance of profit interests/common equity in subsidiaries</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7" w:lineRule="exact"/>
        <w:rPr>
          <w:sz w:val="20"/>
          <w:szCs w:val="20"/>
          <w:color w:val="auto"/>
        </w:rPr>
      </w:pPr>
    </w:p>
    <w:p>
      <w:pPr>
        <w:ind w:left="160" w:right="140"/>
        <w:spacing w:after="0" w:line="234" w:lineRule="auto"/>
        <w:rPr>
          <w:sz w:val="20"/>
          <w:szCs w:val="20"/>
          <w:color w:val="auto"/>
        </w:rPr>
      </w:pPr>
      <w:r>
        <w:rPr>
          <w:rFonts w:ascii="Times New Roman" w:cs="Times New Roman" w:eastAsia="Times New Roman" w:hAnsi="Times New Roman"/>
          <w:sz w:val="18"/>
          <w:szCs w:val="18"/>
          <w:color w:val="auto"/>
        </w:rPr>
        <w:t>Reclassification of negative additional paid-in capital</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76,044</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$(11,559)</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$ 9,650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(102,208)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(104,041)</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$ 1,255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(102,786)</w:t>
            </w:r>
          </w:p>
        </w:tc>
      </w:tr>
      <w:tr>
        <w:trPr>
          <w:trHeight w:val="23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20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r>
      <w:tr>
        <w:trPr>
          <w:trHeight w:val="32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1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20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(44,404)</w:t>
            </w:r>
          </w:p>
        </w:tc>
      </w:tr>
      <w:tr>
        <w:trPr>
          <w:trHeight w:val="230"/>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r>
      <w:tr>
        <w:trPr>
          <w:trHeight w:val="23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32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32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(29)</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2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3"/>
        </w:trPr>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76,957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(12,815)</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(147,718)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$ 1,654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-2134235</wp:posOffset>
            </wp:positionV>
            <wp:extent cx="709803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-1833880</wp:posOffset>
            </wp:positionV>
            <wp:extent cx="709803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-1422400</wp:posOffset>
            </wp:positionV>
            <wp:extent cx="709803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-1130935</wp:posOffset>
            </wp:positionV>
            <wp:extent cx="709803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-719455</wp:posOffset>
            </wp:positionV>
            <wp:extent cx="709803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-307975</wp:posOffset>
            </wp:positionV>
            <wp:extent cx="709803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160"/>
            <w:col w:w="74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and transaction costs recognized on sale of business and investment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49,697</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ESPP and incentive units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Write-off of deferred loan costs and discount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PIK interest (paid)</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(receivable)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30"/>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9,377</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(407,129)</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 and investment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15,278</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of assets and 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(49,463)</w:t>
            </w:r>
          </w:p>
        </w:tc>
      </w:tr>
      <w:tr>
        <w:trPr>
          <w:trHeight w:val="223"/>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(451,033)</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 net of issue discount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607,318</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and modification costs paid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(361,425)</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borrowings under revolving credit facility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redeemable senior preferred stock, net of discount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219,062</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senior preferred stock issuance fees and costs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and shares withheld for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redeemable senior preferred stockholders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distributions to redeemable NCIs of subsidiaries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customer/subscriber accounts obligations,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417,627</w:t>
            </w: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 related to business combination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10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871,629</w:t>
            </w:r>
          </w:p>
        </w:tc>
      </w:tr>
      <w:tr>
        <w:trPr>
          <w:trHeight w:val="21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429,973</w:t>
            </w:r>
          </w:p>
        </w:tc>
      </w:tr>
      <w:tr>
        <w:trPr>
          <w:trHeight w:val="229"/>
        </w:trPr>
        <w:tc>
          <w:tcPr>
            <w:tcW w:w="70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88,120</w:t>
            </w:r>
          </w:p>
        </w:tc>
      </w:tr>
      <w:tr>
        <w:trPr>
          <w:trHeight w:val="248"/>
        </w:trPr>
        <w:tc>
          <w:tcPr>
            <w:tcW w:w="7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518,093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28,859</w:t>
            </w:r>
          </w:p>
        </w:tc>
      </w:tr>
      <w:tr>
        <w:trPr>
          <w:trHeight w:val="176"/>
        </w:trPr>
        <w:tc>
          <w:tcPr>
            <w:tcW w:w="70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and cash equivalents included in settlement assets and customer/subscriber account</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70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balances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744,696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531,574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468,934</w:t>
            </w:r>
          </w:p>
        </w:tc>
      </w:tr>
      <w:tr>
        <w:trPr>
          <w:trHeight w:val="34"/>
        </w:trPr>
        <w:tc>
          <w:tcPr>
            <w:tcW w:w="1020" w:type="dxa"/>
            <w:vAlign w:val="bottom"/>
            <w:tcBorders>
              <w:bottom w:val="single" w:sz="8" w:color="CCEEFF"/>
            </w:tcBorders>
          </w:tcPr>
          <w:p>
            <w:pPr>
              <w:spacing w:after="0"/>
              <w:rPr>
                <w:sz w:val="2"/>
                <w:szCs w:val="2"/>
                <w:color w:val="auto"/>
              </w:rPr>
            </w:pPr>
          </w:p>
        </w:tc>
        <w:tc>
          <w:tcPr>
            <w:tcW w:w="480" w:type="dxa"/>
            <w:vAlign w:val="bottom"/>
            <w:tcBorders>
              <w:top w:val="single" w:sz="8" w:color="0000FF"/>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8"/>
        </w:trPr>
        <w:tc>
          <w:tcPr>
            <w:tcW w:w="70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518,093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3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Cash portion of dividend payable and ticking fee for redeemable senior preferred stock</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Contingent consideration accrual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to value of profit interest unit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Issuance of NCI</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 to purchase price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Notes receivable from sellers used as partial consideration for acquisitions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 of liability-classified award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Change in ESPP liability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additions to other noncurrent assets for right-of-use operating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bl>
    <w:p>
      <w:pPr>
        <w:spacing w:after="0" w:line="76" w:lineRule="exact"/>
        <w:rPr>
          <w:sz w:val="20"/>
          <w:szCs w:val="20"/>
          <w:color w:val="auto"/>
        </w:rPr>
      </w:pPr>
    </w:p>
    <w:p>
      <w:pPr>
        <w:ind w:left="660" w:right="120" w:hanging="328"/>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dividend payable for year ended December 31, 2023, was paid on January 2, 2024. The dividend payable for year ended December 31, 2022, was paid on January 2,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right="6700" w:firstLine="8"/>
        <w:spacing w:after="0" w:line="495" w:lineRule="auto"/>
        <w:tabs>
          <w:tab w:leader="none" w:pos="31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Significant Accounting Policies The Business</w:t>
      </w:r>
    </w:p>
    <w:p>
      <w:pPr>
        <w:spacing w:after="0" w:line="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Headquartered in Alpharetta, GA, the Company began operations in 2005 with a mission to build a merchant-inspired payments platform that would advance the goals of its customers and partners. Our approach leverages a single platform to collect, store, lend and send money that operates at scale. Our technology supports high-value payments products complemented by our personalized support. We are a leading provider to businesses, enterprises and distribution partners such as retail ISOs, FIs, wholesale ISOs and ISVs.</w:t>
      </w:r>
    </w:p>
    <w:p>
      <w:pPr>
        <w:spacing w:after="0" w:line="1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operates from a purpose-built business platform that includes tailored customer service offerings and bespoke technology development, allowing the Company to provide end-to-end solutions for payment and payment-adjacent needs.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w:t>
      </w:r>
    </w:p>
    <w:p>
      <w:pPr>
        <w:spacing w:after="0" w:line="225" w:lineRule="exact"/>
        <w:rPr>
          <w:sz w:val="20"/>
          <w:szCs w:val="20"/>
          <w:color w:val="auto"/>
        </w:rPr>
      </w:pPr>
    </w:p>
    <w:p>
      <w:pPr>
        <w:jc w:val="both"/>
        <w:ind w:left="660" w:right="2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SMB payments processing solutions for B2C transactions through ISOs, FIs, ISVs and other referral partners. Our proprietary MX platform for B2C payments provides merchants a fully customizable suite of business management solutions. We enable customers to accept card, electronic and digital-based payments at the point of sale by providing a suite of services.</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payments solutions such as automated vendor payments and professionally curated managed services to industry leading FIs and networks. Our proprietary B2B CPX platform was developed to be a best-in-class solution for buyer/supplier payment enablement. Our Plastiq payables management software helps businesses improve cash flow with instant access to working capital, while automating and enabling control over all aspects of accounts receivable and payable.</w:t>
      </w:r>
    </w:p>
    <w:p>
      <w:pPr>
        <w:spacing w:after="0" w:line="17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payments solutions for ISVs and other third parties that allow them to leverage the Company's core payments engine via robust API resources and high-utility embeddable code and consulting and development solutions focused on the increasing demand for integrated payments solutions for transitioning to the digital economy. Our BaaS features transaction monitoring, draft authorization audits, fee collection practice monitoring, and other services.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The Company provides its services through three reportable segments: 1) SMB Payments; 2) B2B Payments; and 3) Enterprise Payments. For additional information about our reportable segments, see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provide many of its services, the Company enters into agreements with payment processors which in turn, have agreements with multiple card associations. These card associations comprise an alliance aligned with insured FIs ("member banks") that work in conjunction with various local, state, territory and federal government agencies to make the rules and guidelines regarding the use and acceptance of credit and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also offers money transmission services in 46 U.S. states, the District of Columbia and two U.S. territories.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The Company generally utilizes the equity method of accounting when it has an ownership interest of between 20% and 50% in an entity, provided the Company is able to exercise significant influence over the investee's operations. All material intercompany balances and transactions have been eliminated in consolidation.</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NCI represents the equity interest not owned by the Company and are recorded for consolidated entities in which the Company owns less than 100% of the interests. Changes in the Company's ownership interest while the Company retains its controlling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are accounted for as equity transactions, and upon loss of control, retained ownership interests are remeasured at fair value, with any gain or loss recognized in earnings. For 2023, there was no income or loss attributable to NCI in accordance with the applicable operating agreements.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results for the year ended December 31, 2023, include the post-acquisition results of the Plastiq business which was acquired through Chapter 11 bankruptcy process on July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reported period. Actual results could materially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applies the five-step model to assess its contracts with customers. At contract inception, the Company assesses the services and goods promised in its contracts with customers and identifies the performance obligation for each promise to transfer a distinct good or service to the customer. The Company recognizes revenue when it satisfies a performance obligation by transferring a service or good to the customer in an amount to which the Company expects to be entitled (i.e., transaction price) allocated to the distinct services or goods. The Company has elected the permitted practical expedient that allows it to use the portfolio approach for many of its contracts since this approach's impact on the financial statements, when applied to a group of contracts (or performance obligations) with similar characteristics, is not materially different from the impact of applying the revenue standard on an individual contract basis. Under the portfolio practical expedient, collectability is still assessed at the individual contract level when determining if a contract exists. The Company has elected to exclude any contracts with an original duration of one year or less and any variable consideration that meets specified criteria from its disclosure of the aggregate amount of the transaction price allocated to unsatisfied performance.</w:t>
      </w:r>
    </w:p>
    <w:p>
      <w:pPr>
        <w:spacing w:after="0" w:line="18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delivering payment services to the customer, the Company may also provide a limited license agreement to the customer for the use of one or more of the Company's proprietary cloud-based software applications. The Company grants a right to use its software applications only when the customer has contracted with the Company to receive related payment services. When combined with the underlying payment services, the license and the payment services provided to the customer are a single stand-ready obligation and the Company's performance obligation is defined by each time increment, rather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by the underlying activities, (quantity and timing of which is not determinable), satisfied over time based on days elapsed.</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provide our payment services, we obtain authorization for the transaction and request funds settlement from the card issuing financial institution through the payment network. When third parties are involved in the transfer of services or goods to the customer, the Company considers the nature of each specific promised service or good and applies judgment to determine whether the Company controls the service or good before it is transferred to the customer or whether the Company is acting as an agent of the third party. To determine whether the Company controls the service or good, it assesses indicators including: 1) which party is primarily responsible for fulfillment; 2) which party has discretion in determining pricing for the service or good; and 3) other considerations deemed to be applicable to the specific situation. Based on our assessment of these indicators, we have concluded that the promise to our customers to provide payment services is distinct from the services provided by the card issuing FIs and payment networks in connection with payment transactions. We do not have the ability to direct the use of and obtain substantially all of the benefits of the services provided by the card issuing FIs and payment networks before those services are transferred to our customer, and on that basis, we do not control those services prior to being transferred to our customer. As a result, we present our revenues net of the interchange fees retained by the card issuing FIs and the fees charged by the payment networks.</w:t>
      </w:r>
    </w:p>
    <w:p>
      <w:pPr>
        <w:spacing w:after="0" w:line="19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u w:val="single" w:color="auto"/>
          <w:color w:val="auto"/>
        </w:rPr>
        <w:t>SMB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SMB Payments segment enables the Company's customers to accept card, electronic and digital-based payments at the point of sale by providing a suite of services including authorization, settlement and funding, customer support and help-desk functions, chargeback resolution, payment security, consolidated billing and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online reporting. Additionally, the Company enables customers to accept card, electronic and digital-based payments at the point of sale by providing a suite of services. The Company also earns revenue and commissions from resale of electronic POS equipment and certain subscription coupons.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Typically, revenues generated from these transactions are based on a variable percentage of the dollar amount of each transaction, and in some instances, additional fees (e.g., statement fees, annual fees and monthly minimum fees, fees for handling chargebacks, gateway fees and fees for other miscellaneous services) are charged for each transaction. The Company's sponsoring banks collect the gross merchant discount from the card holder's issuing bank, pay the interchange fees and assessments to the payment networks and credit card associations, retain their fees, and pay to the Company the net amount which represents the Company's revenue.</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B2B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B2B Payments segment enables the Company's customers to automate their accounts payable and other commercial payments functions with the Company's payment services that utilize physical and virtual payment cards as well as ACH transactions. The Company also provides cost-plus-fee turn-key business process outsourcing and assists commercial customers with programs that are designed to increase acceptance of Electronic Payments. Revenues are generally earned on a per-transaction basis and are recognized by the Company net of certain third-party costs for interchange fees, assessments to the payment networks, credit card associations fees, sponsor bank fees and rebates to customers.</w:t>
      </w:r>
    </w:p>
    <w:p>
      <w:pPr>
        <w:spacing w:after="0" w:line="18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Company's payables management software helps businesses improve cash flow with instant access to working capital, while automating and enabling control over all aspects of accounts receivable and payable. For these transactions, the Company acts as a merchant of record, therefore, considered as the principal and accordingly presents its revenue on a gross basis. The Company also offers volume rebates as an incentive to increase business and customer engagement. These rebates are presented as net of revenue. Transaction processing costs, including interchange fees, are presented as costs of revenue.</w:t>
      </w:r>
    </w:p>
    <w:p>
      <w:pPr>
        <w:spacing w:after="0" w:line="178"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u w:val="single" w:color="auto"/>
          <w:color w:val="auto"/>
        </w:rPr>
        <w:t>Enterprise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Enterprise Payments segment uses payment-adjacent technologies to facilitate the acceptance of Electronic Payments from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the Enterprise Payments segment consists of the following:</w:t>
      </w:r>
    </w:p>
    <w:p>
      <w:pPr>
        <w:spacing w:after="0" w:line="223" w:lineRule="exact"/>
        <w:rPr>
          <w:sz w:val="20"/>
          <w:szCs w:val="20"/>
          <w:color w:val="auto"/>
        </w:rPr>
      </w:pPr>
    </w:p>
    <w:p>
      <w:pPr>
        <w:ind w:left="660" w:right="800" w:hanging="328"/>
        <w:spacing w:after="0" w:line="315"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Enrollment fees</w:t>
      </w:r>
      <w:r>
        <w:rPr>
          <w:rFonts w:ascii="Times New Roman" w:cs="Times New Roman" w:eastAsia="Times New Roman" w:hAnsi="Times New Roman"/>
          <w:sz w:val="17"/>
          <w:szCs w:val="17"/>
          <w:color w:val="auto"/>
        </w:rPr>
        <w:t>: The revenue associated with enrollment fees is recognized upon the receipt of a fully executed enrollment application,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completion of the customer account setup, data verification and the constructive receipt of the applicable non-refundable fee.</w:t>
      </w:r>
    </w:p>
    <w:p>
      <w:pPr>
        <w:spacing w:after="0" w:line="134" w:lineRule="exact"/>
        <w:rPr>
          <w:rFonts w:ascii="Times New Roman" w:cs="Times New Roman" w:eastAsia="Times New Roman" w:hAnsi="Times New Roman"/>
          <w:sz w:val="17"/>
          <w:szCs w:val="17"/>
          <w:color w:val="auto"/>
        </w:rPr>
      </w:pPr>
    </w:p>
    <w:p>
      <w:pPr>
        <w:ind w:left="660" w:right="1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fees</w:t>
      </w:r>
      <w:r>
        <w:rPr>
          <w:rFonts w:ascii="Times New Roman" w:cs="Times New Roman" w:eastAsia="Times New Roman" w:hAnsi="Times New Roman"/>
          <w:sz w:val="18"/>
          <w:szCs w:val="18"/>
          <w:color w:val="auto"/>
        </w:rPr>
        <w:t>: The Company recognizes monthly subscription fees as recurring maintenance fees each month during the term of the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enrollment. Revenue from transaction-based fees is recognized upon constructive receipt of transaction fees for payments to creditors issued via ACH payments, paper checks or wire transfers. These fees are transferred to the Company from the customer account balances, which may be maintained by the Company in money transmission license trust accounts or by partner banks.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revenue</w:t>
      </w:r>
      <w:r>
        <w:rPr>
          <w:rFonts w:ascii="Times New Roman" w:cs="Times New Roman" w:eastAsia="Times New Roman" w:hAnsi="Times New Roman"/>
          <w:sz w:val="18"/>
          <w:szCs w:val="18"/>
          <w:color w:val="auto"/>
        </w:rPr>
        <w:t>: Interest revenue is derived from certain customer balances maintained in interest bearing accounts with select partner banks.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CRM and consulting fees</w:t>
      </w:r>
      <w:r>
        <w:rPr>
          <w:rFonts w:ascii="Times New Roman" w:cs="Times New Roman" w:eastAsia="Times New Roman" w:hAnsi="Times New Roman"/>
          <w:sz w:val="18"/>
          <w:szCs w:val="18"/>
          <w:color w:val="auto"/>
        </w:rPr>
        <w:t>: CRM license fees are recognized on a monthly basis and consulting fees are recognized when services are performed.</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substantial portion of this segment's revenues are earned as an agent of a third party, and therefore this earned revenue is reported as a net amount within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3. Revenues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ASC 606 requires disclosure of the aggregate amount of the transaction price allocated to unsatisfied performance obligations. However, as allowed by ASC 606, the Company has elected to exclude from this disclosure any contracts with an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Costs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 Costs of outsourced services and other revenue consist of salaries directly related to outsourced services revenue, the cost of equipment (point of sale terminals) sold, and third-party fees and commissions related to the Company's ACH processing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Customers and Contract Costs</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accrues and pays commission expense based on variable merchant payment volumes and for certain customer service and other services provided by its ISOs. Since commission expenses are accrued and paid to ISOs on a monthly basis after the merchant enters into a new or renewed contract, these are not deemed to be a cost to acquire a new contract but they are reported within costs of services on our Consolidated Statements of Operations and Comprehensive Loss. The ISO is typically an independent contractor or agent of the Company.</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may occasionally elect to buy out all or a portion of an ISO's rights to receive future commission payments related to certain merchants. Amounts paid to the ISO for these residual buyouts are capitalized and amortized over the useful life on a straight-line basis under the accounting guidance for intangible assets and included in intangible assets, net on our Consolidated Balance Sheets.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pays bonuses to certain ISOs for meeting established performance criteria which results in a continued benefit to the Company for future periods. The incremental costs are incurred to secure a future stream of revenue and are recorded as contract acquisitions costs and are amortized over the estimated time on which benefit is expected to be received.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contract with a customer creates a legal right and obligation.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pays certain bonuses to it's ISOs for boarding incremental merchants which the Company expects to obtain benefit from in future periods. These bonuses are recorded as contract acquisition costs and are amortized over five years. Net contract acquisition costs were $6.6 million and $2.1 million at December 31, 2023 and 2022, respectively. Amortization expense for contract acquisition costs for the years ended December 31, 2023 and 2022 was $1.0 million and $0.2 million, respectively. Amortization expense for the year ended December 31, 2021, was immaterial.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Restricted Cash</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highly liquid instruments with an original maturity of three months or less, and cash owned by the Company that is held in financial institutions. Restricted cash is held by the Company in financial institutions for the purpose of in-process customer settlements or reserves held per contact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is stated net of allowance for current period credit losses for any uncollectible amounts and are amounts primarily due from the Company's sponsor banks for revenues earned, net of related interchange and processing fees, and do not bear interest. Other types of accounts receivable are from agents, merchants and other customers. Amounts due from sponsor banks are typically paid within 30 days following the end of each month.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Inventory consists primarily of POS terminals and certain subscription coupons which is carried at the lower of cost or net realizable value. Cost is equal to the purchase price and other expenses incurred with acquiring the inventory and is substantially valued using the weighted average cost method. The carrying amount is reduced when items are determined to be obsolete/expired.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Notes receivable are primarily comprised of notes receivable from ISOs under the terms of the agreements the Company preserves the right to hold back residual payments due to the ISOs and to apply such residuals against future payments due to the Company. Notes receivable are recorded at the unpaid principal balance. Interest on notes receivable is recognized on a monthly basis and is included in interest income. See </w:t>
      </w:r>
      <w:r>
        <w:rPr>
          <w:rFonts w:ascii="Times New Roman" w:cs="Times New Roman" w:eastAsia="Times New Roman" w:hAnsi="Times New Roman"/>
          <w:sz w:val="18"/>
          <w:szCs w:val="18"/>
          <w:u w:val="single" w:color="auto"/>
          <w:color w:val="0000FF"/>
        </w:rPr>
        <w:t>Note 5. Notes Receivable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Losses</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Company utilizes a combination of aging and loss-rate methodologies to develop an estimate of current expected credit losses based on the nature and risks associated with the underlying asset pool. A broad range of factors are considered during the estimation of the allowance including historical losses, adjustments for current conditions and future trends. The Company may also utilize a mix of qualitative and quantitative risk factors within its estimation. The allowance for expected loss from accounts receivable was $5.3 million and $1.1 million at December 31, 2023 and 2022, respectively. As of December 31, 2023 and 2022, there was no allowance for expected loss on notes receivable. See </w:t>
      </w:r>
      <w:r>
        <w:rPr>
          <w:rFonts w:ascii="Times New Roman" w:cs="Times New Roman" w:eastAsia="Times New Roman" w:hAnsi="Times New Roman"/>
          <w:sz w:val="18"/>
          <w:szCs w:val="18"/>
          <w:u w:val="single" w:color="auto"/>
          <w:color w:val="0000FF"/>
        </w:rPr>
        <w:t>Note 5. Notes Receivable</w:t>
      </w:r>
      <w:r>
        <w:rPr>
          <w:rFonts w:ascii="Times New Roman" w:cs="Times New Roman" w:eastAsia="Times New Roman" w:hAnsi="Times New Roman"/>
          <w:sz w:val="18"/>
          <w:szCs w:val="18"/>
          <w:color w:val="auto"/>
        </w:rPr>
        <w:t xml:space="preserve">. As of December 31, 2023 and 2022, the allowance for expected losses on settlement assets was $6.6 million and $5.0 million, respectively. See </w:t>
      </w:r>
      <w:r>
        <w:rPr>
          <w:rFonts w:ascii="Times New Roman" w:cs="Times New Roman" w:eastAsia="Times New Roman" w:hAnsi="Times New Roman"/>
          <w:sz w:val="18"/>
          <w:szCs w:val="18"/>
          <w:u w:val="single" w:color="auto"/>
          <w:color w:val="0000FF"/>
        </w:rPr>
        <w:t>Note 4. Settlement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Customer/Subscriber Account Balances and Related Obligations</w:t>
      </w:r>
      <w:r>
        <w:rPr>
          <w:rFonts w:ascii="Times New Roman" w:cs="Times New Roman" w:eastAsia="Times New Roman" w:hAnsi="Times New Roman"/>
          <w:sz w:val="18"/>
          <w:szCs w:val="18"/>
          <w:color w:val="000000"/>
        </w:rPr>
        <w:t>. A reconciliation of the beginning and ending amount of allowance for expected losses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follows for the year ended 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220" w:type="dxa"/>
            <w:vAlign w:val="bottom"/>
          </w:tcPr>
          <w:p>
            <w:pPr>
              <w:spacing w:after="0"/>
              <w:rPr>
                <w:sz w:val="20"/>
                <w:szCs w:val="20"/>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Settlement assets</w:t>
            </w:r>
          </w:p>
        </w:tc>
      </w:tr>
      <w:tr>
        <w:trPr>
          <w:trHeight w:val="223"/>
        </w:trPr>
        <w:tc>
          <w:tcPr>
            <w:tcW w:w="7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(4,976)</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 (recoveries), net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3,407</w:t>
            </w:r>
          </w:p>
        </w:tc>
      </w:tr>
      <w:tr>
        <w:trPr>
          <w:trHeight w:val="230"/>
        </w:trPr>
        <w:tc>
          <w:tcPr>
            <w:tcW w:w="71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Provision</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(4,989)</w:t>
            </w:r>
          </w:p>
        </w:tc>
      </w:tr>
      <w:tr>
        <w:trPr>
          <w:trHeight w:val="223"/>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(6,558)</w:t>
            </w:r>
          </w:p>
        </w:tc>
      </w:tr>
      <w:tr>
        <w:trPr>
          <w:trHeight w:val="21"/>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Provision for trade receivables includes restructuring related costs of $3.5 million</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elected not to measure expected losses for accrued interest on notes receivable but instead recognize losses for accrued interest within the period losses are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 and Advance Payments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and Comprehensive Loss when the Company satisfies the performance obligations required to retain and earn these deposits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 vendor may make an upfront payment to the Company to offset costs that the Company incurs to integrate the vendor into the Company's operations. These upfront payments are deferred by the Company and are subsequently amortized against expense in its Consolidated Statements of Operations and Comprehensive Loss as the related costs are incurred by the Company in accordance with the agreement with the vendor.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except for property and equipment acquired in a business combination, which is recorded at fair value at the time of the transaction. Depreciation is calculated using the straight-line method over the estimated useful lives of the assets.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equipment and software</w:t>
            </w:r>
          </w:p>
        </w:tc>
        <w:tc>
          <w:tcPr>
            <w:tcW w:w="672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5</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3</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2</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3</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6. Property, Equipment and Software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Develop Software for Internal Use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Costs incurred to develop or obtain internal-use software and implementation costs are accounted for in accordance with ASC 350-40, </w:t>
      </w:r>
      <w:r>
        <w:rPr>
          <w:rFonts w:ascii="Times New Roman" w:cs="Times New Roman" w:eastAsia="Times New Roman" w:hAnsi="Times New Roman"/>
          <w:sz w:val="18"/>
          <w:szCs w:val="18"/>
          <w:i w:val="1"/>
          <w:iCs w:val="1"/>
          <w:color w:val="auto"/>
        </w:rPr>
        <w:t>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The Company uses an agile development methodology in which feature-by-feature updates are made to its software. The costs incurred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stages of development are expensed as incurred. Once an application has reached the development stage, internal and external costs incurred to develop internal-use software are capitalized and amortized using the straight-line method over the estimated useful life of the software, which generally range from two to five years. Maintenance costs including those in the post-implementation stages, are typically expensed as incurred, unless such costs relate to substantial upgrades and enhancements to the software that result in added functionality, in which case such costs are capitalized and amortized using the straight-line method over the estimated useful life of the software.</w:t>
      </w:r>
    </w:p>
    <w:p>
      <w:pPr>
        <w:spacing w:after="0" w:line="18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Software development costs may become impaired in situations where development efforts are abandoned due to the viability of the planned project becoming doubtful or due to technological obsolescence of the planned software product. For the year ended December 31, 2023, there was accelerated depreciation for internal-use software of $0.3 million from certain restructuring costs. There were no impairment charges associated with internal-use software for the years ended December 31, 2022 and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the Company capitalized software development costs of $21.3 million, $16.8 million and</w:t>
      </w:r>
    </w:p>
    <w:p>
      <w:pPr>
        <w:spacing w:after="0" w:line="2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$7.8 million, respectively. As of December 31, 2023 and 2022, capitalized software development costs, net of accumulated amortization, totaled $40.6 million and $28.1 million, respectively, and are included in property, equipment and software, net on the Consolidated Balance Sheets.</w:t>
      </w:r>
    </w:p>
    <w:p>
      <w:pPr>
        <w:spacing w:after="0" w:line="18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Amortization expense for capitalized software development costs for the years ended December 31, 2023, 2022 and 2021 was $9.4 million, $6.9 million and $5.9 million, respectively, and are included in depreciation and amortization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intangible assets are initially recorded at cost or fair value when acquired in connection with a business combination. The carrying value of an intangible asset acquired in an asset acquisition may subsequently be increased for contingent consideration when due to the seller and such amounts can be estimated. The portion of any unpaid purchase price that is contingent on future activities is not initially recorded by the Company on the date of acquisition. Rather, the Company recognizes contingent consideration when it becomes probable and estimable. All of the Company's intangible assets, except goodwill and money transmission licenses, have finite lives and are subject to amortization. Intangible assets consist of acquired merchant portfolios, customer relationships, ISO and referral partner relationships, residual buyouts, trade names, technology, non-compete agreements and money transmission licenses.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55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19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relationships with ISOs and referral partners</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11 – 25 years</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Buyouts</w:t>
            </w:r>
          </w:p>
        </w:tc>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Surrender of rights to receive commissions by ISOs</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 – 9 years</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customer relationships</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 – 10 years</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Merchant Portfolios</w:t>
            </w:r>
          </w:p>
        </w:tc>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Acquired rights to a portfolio of merchants</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 – 10 years</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proprietary software and website domains</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 – 10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Non-compete Agreements</w:t>
            </w:r>
          </w:p>
        </w:tc>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Acquired trade names and non-compete agreements</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 – 10 years</w:t>
            </w:r>
          </w:p>
        </w:tc>
        <w:tc>
          <w:tcPr>
            <w:tcW w:w="0" w:type="dxa"/>
            <w:vAlign w:val="bottom"/>
          </w:tcPr>
          <w:p>
            <w:pPr>
              <w:spacing w:after="0"/>
              <w:rPr>
                <w:sz w:val="1"/>
                <w:szCs w:val="1"/>
                <w:color w:val="auto"/>
              </w:rPr>
            </w:pPr>
          </w:p>
        </w:tc>
      </w:tr>
      <w:tr>
        <w:trPr>
          <w:trHeight w:val="175"/>
        </w:trPr>
        <w:tc>
          <w:tcPr>
            <w:tcW w:w="3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Transmission Licenses</w:t>
            </w:r>
          </w:p>
        </w:tc>
        <w:tc>
          <w:tcPr>
            <w:tcW w:w="556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Acquired licenses to collect, store, lend and send money in 46 U.S.</w:t>
            </w:r>
          </w:p>
        </w:tc>
        <w:tc>
          <w:tcPr>
            <w:tcW w:w="190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149"/>
        </w:trPr>
        <w:tc>
          <w:tcPr>
            <w:tcW w:w="3780" w:type="dxa"/>
            <w:vAlign w:val="bottom"/>
            <w:vMerge w:val="continue"/>
            <w:shd w:val="clear" w:color="auto" w:fill="CCEEFF"/>
          </w:tcPr>
          <w:p>
            <w:pPr>
              <w:spacing w:after="0"/>
              <w:rPr>
                <w:sz w:val="12"/>
                <w:szCs w:val="12"/>
                <w:color w:val="auto"/>
              </w:rPr>
            </w:pPr>
          </w:p>
        </w:tc>
        <w:tc>
          <w:tcPr>
            <w:tcW w:w="55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states, the District of Columbia and two U.S. territories.</w:t>
            </w:r>
          </w:p>
        </w:tc>
        <w:tc>
          <w:tcPr>
            <w:tcW w:w="1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80" w:type="dxa"/>
            <w:vAlign w:val="bottom"/>
            <w:shd w:val="clear" w:color="auto" w:fill="CCEEFF"/>
          </w:tcPr>
          <w:p>
            <w:pPr>
              <w:spacing w:after="0"/>
              <w:rPr>
                <w:sz w:val="8"/>
                <w:szCs w:val="8"/>
                <w:color w:val="auto"/>
              </w:rPr>
            </w:pPr>
          </w:p>
        </w:tc>
        <w:tc>
          <w:tcPr>
            <w:tcW w:w="5560" w:type="dxa"/>
            <w:vAlign w:val="bottom"/>
            <w:vMerge w:val="continue"/>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reviews its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carrying value of the asset group. If indicated, the loss is measured as the excess of carrying value over the asset groups' fair value, as determined based on discounted future cash flows. The Company concluded there were no indications of impairment for the years ended December 31, 2023, 2022 and 2021. See </w:t>
      </w:r>
      <w:r>
        <w:rPr>
          <w:rFonts w:ascii="Times New Roman" w:cs="Times New Roman" w:eastAsia="Times New Roman" w:hAnsi="Times New Roman"/>
          <w:sz w:val="18"/>
          <w:szCs w:val="18"/>
          <w:u w:val="single" w:color="auto"/>
          <w:color w:val="0000FF"/>
        </w:rPr>
        <w:t>Note 7. Goodwill and Other Intangible Assets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tests goodwill for impairment on an annual basis, or when events occur or circumstances indicate the fair value of a reporting unit is below its carrying value. The test for goodwill impairment may be a qualitative or a quantitative analysis depending on the facts and circumstances associated with the reporting unit. If the fair value of a reporting unit is less than its carrying value, an impairment loss is recorded to the extent that implied fair value of the goodwill within the reporting unit is less than its carrying value. See </w:t>
      </w:r>
      <w:r>
        <w:rPr>
          <w:rFonts w:ascii="Times New Roman" w:cs="Times New Roman" w:eastAsia="Times New Roman" w:hAnsi="Times New Roman"/>
          <w:sz w:val="18"/>
          <w:szCs w:val="18"/>
          <w:u w:val="single" w:color="auto"/>
          <w:color w:val="0000FF"/>
        </w:rPr>
        <w:t>Note 7. Goodwill and Other Intangible Assets</w:t>
      </w:r>
      <w:r>
        <w:rPr>
          <w:rFonts w:ascii="Times New Roman" w:cs="Times New Roman" w:eastAsia="Times New Roman" w:hAnsi="Times New Roman"/>
          <w:sz w:val="18"/>
          <w:szCs w:val="18"/>
          <w:color w:val="auto"/>
        </w:rPr>
        <w:t xml:space="preserve"> for further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evaluates lease and service arrangements at lease inception to determine if the arrangement is a lease or contains a lease. Lease arrangements are evaluated at their commencement date to determine classification as operating or finance. Operating leases are reported as part of other noncurrent assets, accounts payable and accrued expenses and other noncurrent liabilities on the Company's Consolidated Balance Sheets. Finance leases, if applicable, are reported as part of property, equipment and software, net, and debt on the Company's Consolidated Balance Sheets. Leases with a term of twelve months or less are generally not included on the Company's Balance Sheets. The Company does not separate lease and non-lease components. Certain estimates and assumptions are made when determining the value of ROU Assets and the related liabilities, including when establishing the lease term and discount rates and variable lease payments (e.g., rent escalations tied to changes in the Producer Price Index). The lease term for all of the Company's leases includes the non-cancelable period of the lease adjusted for any renewal or termination options the Company is reasonably certain to exercise. The lease payment stream includes any rent escalation that is required under certain lease agreements. The Company's leases generally do not provide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implicit rate of interest, nor is it readily determinable by the Company, and as such the Company uses its incremental borrowing rate in determining the discounted value of the lease payments. Lease expense and depreciation expense, if applicable, are recognized on a straight-line basis over the term of the lease.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Customer/Subscriber Account Balances and Related Obligations</w:t>
      </w:r>
    </w:p>
    <w:p>
      <w:pPr>
        <w:spacing w:after="0" w:line="22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 xml:space="preserve">Settlement assets and customer/subscriber account balances and the related obligations recognized on the Company's Consolidated Balance Sheets represent intermediary balances arising in the Company's settlement process for merchants and other customers. See </w:t>
      </w:r>
      <w:r>
        <w:rPr>
          <w:rFonts w:ascii="Times New Roman" w:cs="Times New Roman" w:eastAsia="Times New Roman" w:hAnsi="Times New Roman"/>
          <w:sz w:val="18"/>
          <w:szCs w:val="18"/>
          <w:u w:val="single" w:color="auto"/>
          <w:color w:val="0000FF"/>
        </w:rPr>
        <w:t>Note 4. Settlement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Customer/Subscriber Account Balances and Related Obligations</w:t>
      </w:r>
      <w:r>
        <w:rPr>
          <w:rFonts w:ascii="Times New Roman" w:cs="Times New Roman" w:eastAsia="Times New Roman" w:hAnsi="Times New Roman"/>
          <w:sz w:val="18"/>
          <w:szCs w:val="18"/>
          <w:color w:val="000000"/>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Modification Costs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 Debt modification costs represent amounts paid to third parties to modify existing debt agreements when those amounts are not eligible for capitalization. See </w:t>
      </w:r>
      <w:r>
        <w:rPr>
          <w:rFonts w:ascii="Times New Roman" w:cs="Times New Roman" w:eastAsia="Times New Roman" w:hAnsi="Times New Roman"/>
          <w:sz w:val="18"/>
          <w:szCs w:val="18"/>
          <w:u w:val="single" w:color="auto"/>
          <w:color w:val="0000FF"/>
        </w:rPr>
        <w:t>Note 10. Debt Obligations</w:t>
      </w:r>
      <w:r>
        <w:rPr>
          <w:rFonts w:ascii="Times New Roman" w:cs="Times New Roman" w:eastAsia="Times New Roman" w:hAnsi="Times New Roman"/>
          <w:sz w:val="18"/>
          <w:szCs w:val="18"/>
          <w:color w:val="auto"/>
        </w:rPr>
        <w:t xml:space="preserve"> for amounts paid for the year ended December 31, 2023, which were not eligible for capitalization.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Management approved a plan to restructure the business of its wholly owned subsidiary, PayRight. PayRight's business activity included advancing funds to customers, which did not generate the desired financial results due to changes in the economic environment, particularly the cost of capital. The restructuring plan includes termination of the advancing business effective June 30, 2024. The Company included costs related to this restructuring within selling, general and administrative operating expenses and depreciation and amortization within its Consolidated Statement of Operations and Comprehensive Loss for the year ended December 31, 2023. The costs include allowance for certain advances whose recoverability was impacted by the restructuring of $3.5 million and $0.3 million for accelerated depreciation and amortization of assets of the restructured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 and Asset Acquisitions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accounts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costs are capitalized as part of the asset or assets acquired.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Consideration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Contingent consideration related to the Company's business combinations are estimated based on the present value of a weighted payout probability at the measurement date using a Monte Carlo simulation model. This valuation falls within Level 3 on the fair value hierarchy. The current portion of contingent consideration is included in accounts payable and accrued expenses on the Company's Consolidated Balance Sheets and the noncurrent portion of contingent consideration is included in other noncurrent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asset acquisitions that do not meet the definition of a business, the portion of the unpaid purchase price that is contingent on future activities is not recorded by the Company on the date of acquisition, but when it becomes probable and can be estimated.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Non-controlling Interests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Occasionally, the Company issues common equity and non-voting incentive units within its subsidiaries. The Company is the majority owner of these subsidiaries and, therefore, the common equity and incentive units are deemed to be NCI. NCI is valued based on the events and methodologies including the acquisition-date fair value or the option pricing method. 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xml:space="preserve"> for further information related to the fair value of the common equity issued during 2023.</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estimate the initial fair value of the incentive units, the Company utilizes future cash flow scenarios with focus on those cash flow scenarios which could result in future distributions to the NCIs. In subsequent periods, income or loss will be attributed to an NCI based on the hypothetical liquidation at book value method utilizing the terms of the operating agreement between the Company and the NCI.</w:t>
      </w:r>
    </w:p>
    <w:p>
      <w:pPr>
        <w:spacing w:after="0" w:line="176"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As the majority owner, the Company has call rights on the incentive units issued to the NCIs. These call rights can only be executed under certain circumstances and execution is always optional at the Company's discretion. The call rights do not meet the definition of a free-standing financial instrument or derivative; thus no separate accounting is required for these call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Residual Commissions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Accrued residual commissions consist of amounts due to ISOs and independent sales agents based on a percentage of the net revenues generated from the Company's merchant customers referred by the respective ISO and independent sales agent. Percentages vary based on the program type and transaction volume of each merchant. Residual commission expenses were $415.1 million, $396.2 million and $330.2 million, respectively, for the years ended December 31, 2023, 2022 and 2021, and are included in costs of services in the accompanying Consolidated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 Deposit and Loss Reserve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ISOs may partner with the Company in an exclusive partner program in which ISOs are given negotiated pricing in exchange for bearing the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 of $6.4 million and $5.1 million as of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recognizes the cost resulting from all stock-based payment transactions in the financial statements at grant date fair value. Stock-based compensation expense is recognized over the requisite service period and is reflected in salary and employee benefits expense on the Company's Consolidated Statements of Operations and Comprehensive Loss. Awards generally vest over three or four years and may not vest evenly over the vesting period. The effects of forfeitures are recognized as they occur. All shares issued from option exercises or vesting of RSU awards are original issuance shares and any shares withheld for taxes are repurchased by the Company.</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award under a stock-based compensation payment arrangement based on the award's fair value remeasured at each reporting date until the date of settlement. Compensation cost for each period until settlement is based on the change (or a portion of the change, depending on the percentage of the requisite service that has been rendered at the reporting date) in the fair value of the instrument for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Company's 2018 Plan, the Company determines the fair value of stock options using the Black-Scholes option pricing model, which requires the use of the following subjective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Measure of the amount by which a stock price has fluctuated or is expected to fluctuate. In 2018, when the Company's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were granted, there was a relatively short amount of time that the Company's Common Stock (Nasdaq: PRTH) were traded on a public market, the Company utilized volatility data for the Common Stock of a peer group of comparable public companies. An increase in the expected volatility would increase the fair value of the stock option and related compensation expense.</w:t>
      </w:r>
    </w:p>
    <w:p>
      <w:pPr>
        <w:spacing w:after="0" w:line="18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U.S. Treasury rate for a stripped-principal treasury note as of the grant date having a term equal to the expected term of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An increase in the risk-free interest rate will increase the fair value of the stock option and related compensation expense.</w:t>
      </w:r>
    </w:p>
    <w:p>
      <w:pPr>
        <w:spacing w:after="0" w:line="15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Period of time over which the stock options granted are expected to remain outstanding. In 2018, when the Company's 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were granted, the Company lacked sufficient exercise information for its stock option plan since it was a newly public company. Accordingly, the Company used a method permitted by the SEC whereby the expected term was estimated to be the mid-point between the vesting dates and the expiration dates of the stock option grants. An increase in the expected term will increase the fair value of the stock option and the related compensation expense.</w:t>
      </w:r>
    </w:p>
    <w:p>
      <w:pPr>
        <w:spacing w:after="0" w:line="18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uses an amount of zero as the Company has paid no cash or stock dividends and does not anticipate doing so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An increase in the dividend yield will decrease the fair value of the stock option and the related compensation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participant terminates employment with the Company, vested options may be exercised for a short period of time while unvested options are forfeited.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in any event, a stock option will expire ten years from the date of the grant.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Time-based restricted stock awards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time-based restricted stock awards is determined based on the quoted closing price of the Company's Common Stock on the business day prior to the grant date and is recognized as compensation expense over the vesting term of the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restricted stock awards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accounts for its performance-based restricted stock awards based on the quoted closing price of the Company's Common Stock on the business day prior to the grant date, adjusted for any market-based vesting criteria, and records stock-based compensation expense over the vesting term of the awards based on the probability that the performance criteria will be achieved. The performance goals may be work-related goals for the individual recipient and/or based on certain corporate performance goals. The Company reassesses the probability of vesting at each reporting period and prospectively adjusts stock-based compensation expense based on its probability assessment. Additionally, if performance goals are set or reset on an annual basis, compensation cost is recognized in any reporting period only for performance-based restricted stock awards in which the performance goals have been established and communicated to the award recipient.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Non-voting Incentive Units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issued non-voting incentive units to certain employees and partners in six subsidiaries. These non-voting incentive units were determined to be equity and are accounted for under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Program</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2021 Employee Stock Purchase plan authorizes the issuance of shares of the Company’s Common Stock pursuant to purchase rights granted to employees. The fair value of purchase rights issued under the Employee Stock purchase Plan is estimated using the Black-Scholes option pricing model. The model requires management to make a number of assumptions, including the fair value of the Company’s Common Stock, expected volatility, expected term, risk-free interest 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expected dividends. The Company records the resulting compensation expense in the Consolidated Statements of Operations and Comprehensive Loss over each three-month offering period. See </w:t>
      </w:r>
      <w:r>
        <w:rPr>
          <w:rFonts w:ascii="Times New Roman" w:cs="Times New Roman" w:eastAsia="Times New Roman" w:hAnsi="Times New Roman"/>
          <w:sz w:val="18"/>
          <w:szCs w:val="18"/>
          <w:u w:val="single" w:color="auto"/>
          <w:color w:val="0000FF"/>
        </w:rPr>
        <w:t>Note 14. Stock-based Compensation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Repurchased Stock</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ASC 505-30,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xml:space="preserve">, the Company has elected to apply the cost method when accounting for treasury stock resulting from the repurchase of its Common Stock. Under the cost method, the gross cost of the shares reacquired is charged to a contra equity account, treasury stock. The equity accounts that were originally credited for the original share issuance, Common Stock and additional paid-in capital, remain intact. See </w:t>
      </w:r>
      <w:r>
        <w:rPr>
          <w:rFonts w:ascii="Times New Roman" w:cs="Times New Roman" w:eastAsia="Times New Roman" w:hAnsi="Times New Roman"/>
          <w:sz w:val="18"/>
          <w:szCs w:val="18"/>
          <w:u w:val="single" w:color="auto"/>
          <w:color w:val="0000FF"/>
        </w:rPr>
        <w:t>Note 13. Stockholders' Deficit</w:t>
      </w:r>
      <w:r>
        <w:rPr>
          <w:rFonts w:ascii="Times New Roman" w:cs="Times New Roman" w:eastAsia="Times New Roman" w:hAnsi="Times New Roman"/>
          <w:sz w:val="18"/>
          <w:szCs w:val="18"/>
          <w:color w:val="212529"/>
        </w:rPr>
        <w:t>.</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Basic EPS is computed by dividing net income (loss) available to Common Stockholders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the more dilutive of the two-class method or if-converted method. Diluted EPS excludes potential shares of Common Stock if their effect is anti-dilutive. If there is a net loss in any period, basic and diluted EPS are computed in the same manner.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13. Stockholders' Deficit</w:t>
      </w:r>
      <w:r>
        <w:rPr>
          <w:rFonts w:ascii="Times New Roman" w:cs="Times New Roman" w:eastAsia="Times New Roman" w:hAnsi="Times New Roman"/>
          <w:sz w:val="18"/>
          <w:szCs w:val="18"/>
          <w:color w:val="212529"/>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or FASB, Staff has provided additional guidance to address the accounting for the effects of the provisions related to the taxation of Global Intangible Low-Tax Income noting that companies should make an accounting policy election to recognize deferred taxes for temporary basis differences expected to reverse in future years or to include the tax expense in the year it is incurred. The Company has made a policy election to recognize such taxes as current period expenses when incurred.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The Company recognized interest and penalties associated with uncertain tax positions as a component of income tax expense. See </w:t>
      </w:r>
      <w:r>
        <w:rPr>
          <w:rFonts w:ascii="Times New Roman" w:cs="Times New Roman" w:eastAsia="Times New Roman" w:hAnsi="Times New Roman"/>
          <w:sz w:val="18"/>
          <w:szCs w:val="18"/>
          <w:u w:val="single" w:color="auto"/>
          <w:color w:val="0000FF"/>
        </w:rPr>
        <w:t>Note 12.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value hierarchy to prioritize the inputs used to measure fair value and maximizes the use of observable inputs and minimizes the use of unobservable inputs. The three levels of inputs used to measure fair value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values of the Company's merchant portfolios, assets and liabilities acquired in mergers and business combinations, and contingent consideration are primarily based on Level 3 inputs and are generally estimated based upon valuation techniques that include discounted cash flow analysis based on cash flow projections or Monte Carlo simulations and, for years beyond the projection period, estimates based on assumed growth rates. Assumptions are also made regarding appropriate discount rates, perpetual growth rates, and capital expenditures, among others. In certain circumstances, the discounted cash flow analysis or Monte Carlo simulation is corroborated by a market-based approach that utilizes comparable company public trading values and, where available, values observed in public market transactions.</w:t>
      </w:r>
    </w:p>
    <w:p>
      <w:pPr>
        <w:spacing w:after="0" w:line="18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 xml:space="preserve">The carrying values of accounts and notes receivable, accounts payable and accrued expenses, long-term debt, restricted cash and cash and cash equivalents, including settlement assets and the associated deposit liabilities, approximate their fair values due to either the short-term nature of such instruments or the fact that the interest rate of the debt is based upon current market rates. See </w:t>
      </w:r>
      <w:r>
        <w:rPr>
          <w:rFonts w:ascii="Times New Roman" w:cs="Times New Roman" w:eastAsia="Times New Roman" w:hAnsi="Times New Roman"/>
          <w:sz w:val="18"/>
          <w:szCs w:val="18"/>
          <w:u w:val="single" w:color="auto"/>
          <w:color w:val="0000FF"/>
        </w:rPr>
        <w:t>Note 17.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the Indian subsidiary of the Company is Indian Rupee (i.e. local currency of Republic of India). The functional currency of the Canadian subsidiary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revenues and receivables are attributable to merchants. For the years ended December 31, 2023, 2022 and 2021, no individual merchant customer accounted for 10% or more of the Company's consolidated revenues. Most of the Company's merchant customers were referred to the Company by an ISO or other reseller partners. If the Company's agreement with an ISO allows the ISO to have merchant portability rights, the ISO can move the underlying merchant relationships to another merchant acquirer upon notice to the Company and completion of a "wind down" period. For the years ended December 31, 2023, 2022 and 2021, merchants referred by one ISO organization with merchant portability rights generated revenue within the Company's SMB Payments reportable segment that represented approximately 15%, 21% and 22%, respectively, of the Company's consolidated revenues.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2023, the Company's settlement assets and customer /subscriber account balances of $745.6 million includes cash and cash equivalents of $710.8 million related to customer account balances which are maintained in FDIC insured accounts with certain FIs. See </w:t>
      </w:r>
      <w:r>
        <w:rPr>
          <w:rFonts w:ascii="Times New Roman" w:cs="Times New Roman" w:eastAsia="Times New Roman" w:hAnsi="Times New Roman"/>
          <w:sz w:val="18"/>
          <w:szCs w:val="18"/>
          <w:u w:val="single" w:color="auto"/>
          <w:color w:val="0000FF"/>
        </w:rPr>
        <w:t>Note 4. Settlement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Customer/Subscriber Account Balances and Related Obligations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majority of the Company's cash and restricted cash (including subscriber account balances) is held in certain FIs, substantially all of which is in excess of FDIC limits. On at least an annual basis, the Company reviews qualitative and quantitative factors including earnings (with emphasis on return on equity and net interest margin), capitalization (with emphasis on Tier 1 and Capital ratios), asset quality (emphasis on Net charge-offs ratios), and liquidity, evaluating the performance of these FIs with their peers. The Company may shift funds as a response to risks noted and to optimize returns and costs</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The Company does not believe 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2016-13"). This new guidance changes how entities account for credit impairment for trade and other receivables, as well as for certain financial assets and other instruments. ASU 2016-13 replaces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Company adopted ASU 2016-13 effective January 1, 2023 using the modified-retrospective approach. The implementation of ASU 2016-13 did not have a material impact on the Company's Audited Consolidated Financial Statements. Additionally, the Company modified its accounting policy to conform with the requirements of the adoption of this standard.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SOFR. An entity that makes this election would not have to remeasure the contract at the modification date or reassess a previous accounting determination. In January 2021, the FASB issued </w:t>
      </w:r>
      <w:r>
        <w:rPr>
          <w:rFonts w:ascii="Times New Roman" w:cs="Times New Roman" w:eastAsia="Times New Roman" w:hAnsi="Times New Roman"/>
          <w:sz w:val="18"/>
          <w:szCs w:val="18"/>
          <w:i w:val="1"/>
          <w:iCs w:val="1"/>
          <w:color w:val="auto"/>
        </w:rPr>
        <w:t>ASU 2021-01, Reference Rate Reform (Topic 848), Scope</w:t>
      </w:r>
      <w:r>
        <w:rPr>
          <w:rFonts w:ascii="Times New Roman" w:cs="Times New Roman" w:eastAsia="Times New Roman" w:hAnsi="Times New Roman"/>
          <w:sz w:val="18"/>
          <w:szCs w:val="18"/>
          <w:color w:val="auto"/>
        </w:rPr>
        <w:t xml:space="preserve"> ASU 2021-01, which clarifies that certain optional expedients and exceptions in Topic 848 for contract modifications and hedge accounting apply to derivatives that are affected by the discounting transition. The Company adopted the optional expedients of Topic 848 on June 30, 2023 upon the amendments of its Credit Agreement (see </w:t>
      </w:r>
      <w:r>
        <w:rPr>
          <w:rFonts w:ascii="Times New Roman" w:cs="Times New Roman" w:eastAsia="Times New Roman" w:hAnsi="Times New Roman"/>
          <w:sz w:val="18"/>
          <w:szCs w:val="18"/>
          <w:u w:val="single" w:color="auto"/>
          <w:color w:val="0000FF"/>
        </w:rPr>
        <w:t>Note 10. Debt Obligations</w:t>
      </w:r>
      <w:r>
        <w:rPr>
          <w:rFonts w:ascii="Times New Roman" w:cs="Times New Roman" w:eastAsia="Times New Roman" w:hAnsi="Times New Roman"/>
          <w:sz w:val="18"/>
          <w:szCs w:val="18"/>
          <w:color w:val="auto"/>
        </w:rPr>
        <w:t xml:space="preserve">) and the Certificate of Designation (see </w:t>
      </w:r>
      <w:r>
        <w:rPr>
          <w:rFonts w:ascii="Times New Roman" w:cs="Times New Roman" w:eastAsia="Times New Roman" w:hAnsi="Times New Roman"/>
          <w:sz w:val="18"/>
          <w:szCs w:val="18"/>
          <w:u w:val="single" w:color="auto"/>
          <w:color w:val="0000FF"/>
        </w:rPr>
        <w:t>Note 11. Redeemable Senior Preferred Stock and Warrants</w:t>
      </w:r>
      <w:r>
        <w:rPr>
          <w:rFonts w:ascii="Times New Roman" w:cs="Times New Roman" w:eastAsia="Times New Roman" w:hAnsi="Times New Roman"/>
          <w:sz w:val="18"/>
          <w:szCs w:val="18"/>
          <w:color w:val="auto"/>
        </w:rPr>
        <w:t>), which transitioned the Company's reference rates from LIBOR to SOFR. The adoption of this standard did not have a material impact on the Company's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Pending Adoption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2023-07</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incremental reportable segment disclosures, primarily about significant segment expenses. The amendments also require entities with a single reportable segment to provide all disclosures required by these amendments, and all existing segment disclosures. This guidance is effective for fiscal years beginning after December 15, 2023, and interim periods after December 15, 2024. The Company will adopt this guidance for the year ended December 31, 2024. This guidance is expected to only impact the disclosures with no impact on the results of operations, financial position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2023-09</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 The Company is in the process of evaluating when it will adopt this guidance and the potential effects this guidance will have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9780" w:firstLine="8"/>
        <w:spacing w:after="0" w:line="503" w:lineRule="auto"/>
        <w:tabs>
          <w:tab w:leader="none" w:pos="30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Plastiq Acquisition</w:t>
      </w: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May 23, 2023,Plastiq, Powered by Priority, LLC (the "Acquiring Entity"), a subsidiary of PRTH, entered into a stalking horse equity and asset purchase agreement with Plastiq, Inc. and certain of its affiliates ("Plastiq") to acquire substantially all of the assets of Plastiq, including the equity interest in Plastiq Canada, Inc. Plastiq is a buyer funded B2B payments platform offering bill pay and instant access to working capital to its customers and will complement the Company's existing supplier-funded B2B Payments business. On May 24, 2023, Plastiq filed voluntary petitions for relief under Chapter 11 of Title 11 of the United States Code in the United States Bankruptcy Court for the District of Delaware.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purchase was completed on July 31, 2023 for a total purchase consideration of approximately $37.0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under which the acquired assets and assumed liabilities were recognized at their fair values as of July 31, 2023 , with the excess of the fair value of consideration transferred over the fair value of the net assets acquired recognized as goodwill. The fair values of the acquired assets and assumed liabilities as of July 31, 2023 were estimated by management using the discounted cash flow method and other factors specific to certain assets and liabilities. The preliminary purchase price allocation is set forth in the table below and expected to be finalized as soon as practicable but no later than one year from the closing 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payments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of the Acquiring Entity</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cash and restricted cash acquired</w:t>
            </w:r>
            <w:r>
              <w:rPr>
                <w:rFonts w:ascii="Times New Roman" w:cs="Times New Roman" w:eastAsia="Times New Roman" w:hAnsi="Times New Roman"/>
                <w:sz w:val="23"/>
                <w:szCs w:val="23"/>
                <w:color w:val="auto"/>
                <w:vertAlign w:val="superscript"/>
              </w:rPr>
              <w:t>(3)</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net of cash and restricted cash acquired</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36,971</w:t>
            </w: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9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Prepaid expenses</w:t>
            </w:r>
            <w:r>
              <w:rPr>
                <w:rFonts w:ascii="Times New Roman" w:cs="Times New Roman" w:eastAsia="Times New Roman" w:hAnsi="Times New Roman"/>
                <w:sz w:val="23"/>
                <w:szCs w:val="23"/>
                <w:color w:val="auto"/>
                <w:vertAlign w:val="superscript"/>
              </w:rPr>
              <w:t>(3)</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assets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r>
      <w:tr>
        <w:trPr>
          <w:trHeight w:val="229"/>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30,460</w:t>
            </w: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Accounts payable and accrued expenses</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obligations</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36,971</w:t>
            </w:r>
          </w:p>
        </w:tc>
      </w:tr>
      <w:tr>
        <w:trPr>
          <w:trHeight w:val="20"/>
        </w:trPr>
        <w:tc>
          <w:tcPr>
            <w:tcW w:w="9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20" w:hanging="328"/>
        <w:spacing w:after="0" w:line="23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contingent consideration payments issued was determined utilizing a Monte Carlo simulation. The contingent consideration payments were calculated based on the path for the simulated metrics and the contractual terms of the contingent consideration payments and were discounted to present value at a rate reflecting the risk associated with the payoffs. The fair value was estimated to be the average present value of the contingent consideration payments over all iterations of the simulation.</w:t>
      </w:r>
    </w:p>
    <w:p>
      <w:pPr>
        <w:ind w:left="660" w:right="200" w:hanging="328"/>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$13.0 million for customer relationships, $7.0 million for referral partner relationships, $6.5 million for technology and $3.9 million for trade name.</w:t>
      </w:r>
    </w:p>
    <w:p>
      <w:pPr>
        <w:spacing w:after="0" w:line="1" w:lineRule="exact"/>
        <w:rPr>
          <w:rFonts w:ascii="Times New Roman" w:cs="Times New Roman" w:eastAsia="Times New Roman" w:hAnsi="Times New Roman"/>
          <w:sz w:val="23"/>
          <w:szCs w:val="23"/>
          <w:color w:val="auto"/>
          <w:vertAlign w:val="superscript"/>
        </w:rPr>
      </w:pPr>
    </w:p>
    <w:p>
      <w:pPr>
        <w:ind w:left="660" w:right="340" w:hanging="328"/>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2023, the Company recorded measurement period adjustments due to additional information received related to cash acquired, accounts receivable, prepaid expenses, goodwill and accounts payable.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measurement period adjustment resulted in decreases in cash and restricted cash acquired of $40.0 thousand, and accounts receivable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 thousand offset by increases in prepaid expenses of $46.0 thousand, and goodwill of $0.3 million, and accounts payable of $0.2 million.</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contingent consideration will not exceed the contractual undiscounted future value of $23.1 million and will be remeasured quarterly based on actual operating results. As of December 31, 2023, total consideration was $9.7 million, $2.2 million included in accounts payable and accrued expenses and $7.5 million included in noncurrent liabilities on the Consolidated Balance Sheets. Total interest accreted for the year was $1.3 million. The Company will make quarterly payments equal to 75% of the cash available for the contingent consideration as required by the contract. The payment made for the year ended December 31, 2023,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is reported within the Company's B2B Payments reportable segment. The Company's Consolidated Financial Statements for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include the operating results of Plastiq from August 1, 2023 through December 31, 2023 as noted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38"/>
        </w:trPr>
        <w:tc>
          <w:tcPr>
            <w:tcW w:w="9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27,436</w:t>
            </w:r>
          </w:p>
        </w:tc>
      </w:tr>
      <w:tr>
        <w:trPr>
          <w:trHeight w:val="30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r>
              <w:rPr>
                <w:rFonts w:ascii="Times New Roman" w:cs="Times New Roman" w:eastAsia="Times New Roman" w:hAnsi="Times New Roman"/>
                <w:sz w:val="23"/>
                <w:szCs w:val="23"/>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(1,997)</w:t>
            </w:r>
          </w:p>
        </w:tc>
      </w:tr>
    </w:tbl>
    <w:p>
      <w:pPr>
        <w:spacing w:after="0" w:line="185"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acquisition related costs of $1.3 million</w:t>
      </w:r>
    </w:p>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bankruptcy of Plastiq, Inc. before acquisition by the Company resulted in significant changes to the cost structure of the acquired business. As a result, pre-acquisition financial information is not relevant and therefore impractical to include.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twelve months ended December 31, 2023, the Company incurred $1.7 million in acquisition related costs, which primarily consisted of consulting, legal and accounting and valuation expenses. These expenses were recorded in selling, general and administrative expenses in the Company's Consolidated Statements of Operations and Comprehensive Loss. Based on the purchase consideration and pre-acquisition operating results, this business combination did not meet the materiality requirements for pro forma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occurring in prior years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Ovvi Acquisition</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November 18, 2022, the Company completed its acquisition of certain assets and assumption of a certain liability of Ovvi, LLC, under an asset purchase agreement through its wholly-owned subsidiary, Priority Ovvi, LLC ("Ovvi"). The acquisition was accounted for as a business combination using the acquisition method of accounting. Prior to this acquisition, the business operated as a SaaS proprietary platform for the restaurant, hospitality and retail industries by providing complete all-in-one point of sale software and hardware systems, comprehensive ancillary services including fraud detection and mitigation, and processing services for various types of cards including credit cards, debit cards, private label cards and prepaid cards. This business is reported within the Company's SMB Payments reportable segment. Transaction costs were not material and were expensed. The non-voting incentive shares issued to the seller will be evaluated at each reporting period to determine whether or not profit or loss should be allocated based on the subsidiary's operating agreement. The preliminary purchase price allocation is set forth in the table below and is expected to be finalized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Fair value of class B shares issued in Ovvi (NCI)</w:t>
      </w:r>
      <w:r>
        <w:rPr>
          <w:rFonts w:ascii="Times New Roman" w:cs="Times New Roman" w:eastAsia="Times New Roman" w:hAnsi="Times New Roman"/>
          <w:sz w:val="23"/>
          <w:szCs w:val="23"/>
          <w:color w:val="auto"/>
          <w:vertAlign w:val="superscript"/>
        </w:rPr>
        <w:t>(3)</w:t>
      </w:r>
    </w:p>
    <w:p>
      <w:pPr>
        <w:ind w:left="20"/>
        <w:spacing w:after="0"/>
        <w:rPr>
          <w:sz w:val="20"/>
          <w:szCs w:val="20"/>
          <w:color w:val="auto"/>
        </w:rPr>
      </w:pPr>
      <w:r>
        <w:rPr>
          <w:rFonts w:ascii="Times New Roman" w:cs="Times New Roman" w:eastAsia="Times New Roman" w:hAnsi="Times New Roman"/>
          <w:sz w:val="18"/>
          <w:szCs w:val="18"/>
          <w:b w:val="1"/>
          <w:bCs w:val="1"/>
          <w:color w:val="auto"/>
        </w:rPr>
        <w:t>Total enterprise value of business acquired</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(4)</w:t>
      </w:r>
    </w:p>
    <w:p>
      <w:pPr>
        <w:ind w:left="20"/>
        <w:spacing w:after="0" w:line="218" w:lineRule="auto"/>
        <w:rPr>
          <w:sz w:val="20"/>
          <w:szCs w:val="20"/>
          <w:color w:val="auto"/>
        </w:rPr>
      </w:pPr>
      <w:r>
        <w:rPr>
          <w:rFonts w:ascii="Times New Roman" w:cs="Times New Roman" w:eastAsia="Times New Roman" w:hAnsi="Times New Roman"/>
          <w:sz w:val="18"/>
          <w:szCs w:val="18"/>
          <w:color w:val="auto"/>
        </w:rPr>
        <w:t>Inventory</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p>
      <w:pPr>
        <w:ind w:left="20"/>
        <w:spacing w:after="0" w:line="218" w:lineRule="auto"/>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enterprise value of business acquired</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5,026</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5,026</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659</w:t>
      </w:r>
    </w:p>
    <w:p>
      <w:pPr>
        <w:spacing w:after="0" w:line="2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45720</wp:posOffset>
            </wp:positionV>
            <wp:extent cx="1423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3,504</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2,021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23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14230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45720</wp:posOffset>
            </wp:positionV>
            <wp:extent cx="14230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300" w:space="720"/>
            <w:col w:w="2200"/>
          </w:cols>
          <w:pgMar w:left="320" w:top="121" w:right="359" w:bottom="1440" w:gutter="0" w:footer="0" w:header="0"/>
        </w:sectPr>
      </w:pPr>
    </w:p>
    <w:p>
      <w:pPr>
        <w:spacing w:after="0" w:line="3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$50.0 thousand withheld for inventory acquired which was subsequently released in March 2023.</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consist of $1.3 million for technology, $0.4 million for customer relationships and $0.3 million for trade names.</w:t>
      </w:r>
    </w:p>
    <w:p>
      <w:pPr>
        <w:spacing w:after="0" w:line="2" w:lineRule="exact"/>
        <w:rPr>
          <w:rFonts w:ascii="Times New Roman" w:cs="Times New Roman" w:eastAsia="Times New Roman" w:hAnsi="Times New Roman"/>
          <w:sz w:val="23"/>
          <w:szCs w:val="23"/>
          <w:color w:val="auto"/>
          <w:vertAlign w:val="superscript"/>
        </w:rPr>
      </w:pPr>
    </w:p>
    <w:p>
      <w:pPr>
        <w:ind w:left="660" w:right="380" w:hanging="328"/>
        <w:spacing w:after="0" w:line="21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first quarter of 2023, the Company recorded measurement period adjustments due to additional information received related to the valuation of the Class B shares. This measurement period adjustment resulted in a decrease of $0.6 million in goodwill and NCI.</w:t>
      </w:r>
    </w:p>
    <w:p>
      <w:pPr>
        <w:ind w:left="660" w:right="600" w:hanging="328"/>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third quarter of 2023, the Company recorded measurement period adjustments due to additional information received related to accounts receivable and inventory. This measurement period adjustment resulted in a decrease of $0.1 million in accounts receivable and inventory, offset by an increase in goodwill of $0.1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Finxera Acquisition</w:t>
      </w:r>
    </w:p>
    <w:p>
      <w:pPr>
        <w:spacing w:after="0" w:line="2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September 17, 2021, the Company completed its acquisition of 100% of the equity interests of Finxera. Finxera is a provider of deposit account management and licensed money transmission services in the U.S. The acquisition allows the Company to offer clients turn-key merchant services, payment facilitation, card issuing, automated payables, virtual banking, e-wallet tools, risk management, underwriting and compliance on a single platform.</w:t>
      </w:r>
    </w:p>
    <w:p>
      <w:pPr>
        <w:spacing w:after="0" w:line="15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transaction was funded with the Company's cash on hand, proceeds from the issuance of the redeemable senior preferred stock and debt, and the issuance of common equity shares to the sellers.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under which the assets acquired and liabilities assumed were recognized at their fair values as of the September 17, 2021, with the excess of the fair value of consideration transferred over the fair value of the net assets acquired recognized as goodwill. The fair values of the assets acquired and liabilities assumed as of the September 17, 2021 were estimated by management based on the valuation of the Finxera business using the discounted cash flow method and other factors specific to certain assets and liabilities. The final purchase price allocation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379,220</w:t>
            </w:r>
          </w:p>
        </w:tc>
      </w:tr>
      <w:tr>
        <w:trPr>
          <w:trHeight w:val="229"/>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Equity instruments</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restricted cash acquired</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net of cash and restricted cash acquired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407,010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assets and customer/subscriber account balances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244,712</w:t>
            </w:r>
          </w:p>
        </w:tc>
      </w:tr>
      <w:tr>
        <w:trPr>
          <w:trHeight w:val="230"/>
        </w:trPr>
        <w:tc>
          <w:tcPr>
            <w:tcW w:w="9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and customer/subscriber account obligations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(44,018)</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407,010</w:t>
            </w:r>
          </w:p>
        </w:tc>
      </w:tr>
      <w:tr>
        <w:trPr>
          <w:trHeight w:val="21"/>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60" w:hanging="328"/>
        <w:spacing w:after="0" w:line="229"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7,551,354 shares of PRTH Common Stock that were issued was determined based on their market price at the time of closing adjusted for an appropriate liquidity discount due to trading restrictions under Securities Rule 144.</w:t>
      </w:r>
    </w:p>
    <w:p>
      <w:pPr>
        <w:ind w:left="660" w:right="60" w:hanging="328"/>
        <w:spacing w:after="0" w:line="219"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$154.9 million for referral partner relationships, $34.3 million for technology, $20.1 million for customer relationships and $2.1 million for money transmission licenses.</w:t>
      </w:r>
    </w:p>
    <w:p>
      <w:pPr>
        <w:spacing w:after="0" w:line="19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Goodwill of $244.7 million arising from the acquisition primarily consists of the expected synergies and other benefits from combining operations. Goodwill attributable to the acquisition of $8.7 million was deductible for income tax purposes. The goodwill was allocated 100% to the Company's Enterprise Payments reportable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Payments, Inc.</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April 28, 2021, a subsidiary of the Company completed its acquisition of certain residual portfolio rights for a purchase price of $42.4 million and $24.8 million of post-closing payments and earn-out payments based on meeting certain attrition thresholds over a three-year period from the date of acquisition. The transaction did not meet the definition of a business, therefore it was accounted for as an asset acquisition under which the cost of the acquisition was allocated to the acquired assets based on relative fair values. As an asset acquisition, additional purchase price is accounted for when payment to the seller becomes probable and is added to the carrying value of the asset. The seller's note payable to the Company of $3.0 million and an advance of $2.0 million outstanding at the time of the purchase were netted against the initial purchase price, resulting in cash of $41.2 million being paid by the Company to the seller, which was funded from cash proceeds from the issuance of the redeemable senior preferred stock and cash on hand.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C&amp;H Financial Services, Inc.</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25, 2021, a subsidiary of the Company acquired certain assets and assumed certain related liabilities under an asset purchase agreement. The acquisition was accounted for as a business combination using the acquisition method of accounting. Prior to this acquisition, the business was an ISO partner of the Company where it developed expertise in software-integrated payment services, as well as marketing programs for specific verticals such as automotive and youth sports. This business is reported within the Company's SMB Payments reportable segment. The initial purchase price for the net assets was $35.0 million in cash and a total purchase price of not more than $60.0 million including post-closing payments and earn-out payments based on certain gross profit and revenue achievements over a three-year period from the date of acquisition.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acquisition date fair value of the contingent consideration was $4.7 million, which increased the total purchase price to $39.7 million. The seller's note payable to the Company of $0.5 million at the time of purchase was netted against the initial purchase price, resulting in cash of $34.5 million being paid by the Company to the seller, which was funded from a $30.0 million draw down from a revolving credit facility and $4.5 million cash on hand. Transaction costs were not material and were expensed. The purchase price allocation is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 and other current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r>
      <w:tr>
        <w:trPr>
          <w:trHeight w:val="230"/>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80" w:hanging="328"/>
        <w:spacing w:after="0" w:line="229" w:lineRule="auto"/>
        <w:tabs>
          <w:tab w:leader="none" w:pos="648" w:val="left"/>
        </w:tabs>
        <w:numPr>
          <w:ilvl w:val="1"/>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$20.2 million for merchant portfolio intangible assets with a ten-year useful life and $5.2 million for ISO partner relationships with a twelve-year useful life.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53"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disaggregation of our consolidated revenues by type: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595,205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553,037</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468,764</w:t>
            </w: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21,033</w:t>
            </w:r>
          </w:p>
        </w:tc>
      </w:tr>
      <w:tr>
        <w:trPr>
          <w:trHeight w:val="22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r>
      <w:tr>
        <w:trPr>
          <w:trHeight w:val="223"/>
        </w:trPr>
        <w:tc>
          <w:tcPr>
            <w:tcW w:w="44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revenues</w:t>
            </w:r>
            <w:r>
              <w:rPr>
                <w:rFonts w:ascii="Times New Roman" w:cs="Times New Roman" w:eastAsia="Times New Roman" w:hAnsi="Times New Roman"/>
                <w:sz w:val="23"/>
                <w:szCs w:val="23"/>
                <w:color w:val="auto"/>
                <w:vertAlign w:val="superscript"/>
              </w:rPr>
              <w:t>(1)(2)</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755,612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663,641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514,901</w:t>
            </w: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right="30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ind w:left="660" w:right="820" w:hanging="328"/>
        <w:spacing w:after="0" w:line="21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$33.4 million, $7.5 million and $0.7 million, of interest income for the years ended December 31, 2023, 2022 and 2021, respectively, is included in outsourced services and other services revenue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color w:val="212529"/>
        </w:rPr>
        <w:t>table presents a disaggregation of our consolidated revenues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0"/>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40" w:type="dxa"/>
            <w:vAlign w:val="bottom"/>
          </w:tcPr>
          <w:p>
            <w:pPr>
              <w:spacing w:after="0"/>
              <w:rPr>
                <w:sz w:val="14"/>
                <w:szCs w:val="14"/>
                <w:color w:val="auto"/>
              </w:rPr>
            </w:pPr>
          </w:p>
        </w:tc>
        <w:tc>
          <w:tcPr>
            <w:tcW w:w="1820" w:type="dxa"/>
            <w:vAlign w:val="bottom"/>
            <w:gridSpan w:val="4"/>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Outsourced and</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4"/>
                <w:szCs w:val="14"/>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w:t>
            </w:r>
          </w:p>
        </w:tc>
        <w:tc>
          <w:tcPr>
            <w:tcW w:w="6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582,870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132,016</w:t>
            </w:r>
          </w:p>
        </w:tc>
        <w:tc>
          <w:tcPr>
            <w:tcW w:w="0" w:type="dxa"/>
            <w:vAlign w:val="bottom"/>
          </w:tcPr>
          <w:p>
            <w:pPr>
              <w:spacing w:after="0"/>
              <w:rPr>
                <w:sz w:val="1"/>
                <w:szCs w:val="1"/>
                <w:color w:val="auto"/>
              </w:rPr>
            </w:pPr>
          </w:p>
        </w:tc>
      </w:tr>
      <w:tr>
        <w:trPr>
          <w:trHeight w:val="24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20" w:type="dxa"/>
            <w:vAlign w:val="bottom"/>
            <w:tcBorders>
              <w:top w:val="single" w:sz="8" w:color="auto"/>
              <w:bottom w:val="single" w:sz="8" w:color="auto"/>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595,205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98,137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755,612</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40" w:type="dxa"/>
            <w:vAlign w:val="bottom"/>
          </w:tcPr>
          <w:p>
            <w:pPr>
              <w:spacing w:after="0"/>
              <w:rPr>
                <w:sz w:val="14"/>
                <w:szCs w:val="14"/>
                <w:color w:val="auto"/>
              </w:rPr>
            </w:pPr>
          </w:p>
        </w:tc>
        <w:tc>
          <w:tcPr>
            <w:tcW w:w="182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Outsourced and</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4"/>
                <w:szCs w:val="14"/>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w:t>
            </w: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562,237</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0" w:type="dxa"/>
            <w:vAlign w:val="bottom"/>
          </w:tcPr>
          <w:p>
            <w:pPr>
              <w:spacing w:after="0"/>
              <w:rPr>
                <w:sz w:val="1"/>
                <w:szCs w:val="1"/>
                <w:color w:val="auto"/>
              </w:rPr>
            </w:pPr>
          </w:p>
        </w:tc>
      </w:tr>
      <w:tr>
        <w:trPr>
          <w:trHeight w:val="230"/>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82,514</w:t>
            </w:r>
          </w:p>
        </w:tc>
        <w:tc>
          <w:tcPr>
            <w:tcW w:w="0" w:type="dxa"/>
            <w:vAlign w:val="bottom"/>
          </w:tcPr>
          <w:p>
            <w:pPr>
              <w:spacing w:after="0"/>
              <w:rPr>
                <w:sz w:val="1"/>
                <w:szCs w:val="1"/>
                <w:color w:val="auto"/>
              </w:rPr>
            </w:pPr>
          </w:p>
        </w:tc>
      </w:tr>
      <w:tr>
        <w:trPr>
          <w:trHeight w:val="24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553,037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71,536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663,641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2021</w:t>
            </w: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5"/>
                <w:szCs w:val="15"/>
                <w:color w:val="auto"/>
              </w:rPr>
            </w:pPr>
          </w:p>
        </w:tc>
        <w:tc>
          <w:tcPr>
            <w:tcW w:w="1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40" w:type="dxa"/>
            <w:vAlign w:val="bottom"/>
          </w:tcPr>
          <w:p>
            <w:pPr>
              <w:spacing w:after="0"/>
              <w:rPr>
                <w:sz w:val="15"/>
                <w:szCs w:val="15"/>
                <w:color w:val="auto"/>
              </w:rPr>
            </w:pPr>
          </w:p>
        </w:tc>
        <w:tc>
          <w:tcPr>
            <w:tcW w:w="1820" w:type="dxa"/>
            <w:vAlign w:val="bottom"/>
            <w:gridSpan w:val="4"/>
          </w:tcPr>
          <w:p>
            <w:pPr>
              <w:jc w:val="center"/>
              <w:ind w:right="1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3"/>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rPr>
              <w:t>Outsourced and</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5"/>
                <w:szCs w:val="15"/>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1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w:t>
            </w:r>
          </w:p>
        </w:tc>
        <w:tc>
          <w:tcPr>
            <w:tcW w:w="6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0" w:type="dxa"/>
            <w:vAlign w:val="bottom"/>
          </w:tcPr>
          <w:p>
            <w:pPr>
              <w:spacing w:after="0"/>
              <w:rPr>
                <w:sz w:val="1"/>
                <w:szCs w:val="1"/>
                <w:color w:val="auto"/>
              </w:rPr>
            </w:pPr>
          </w:p>
        </w:tc>
      </w:tr>
      <w:tr>
        <w:trPr>
          <w:trHeight w:val="248"/>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20" w:type="dxa"/>
            <w:vAlign w:val="bottom"/>
            <w:tcBorders>
              <w:top w:val="single" w:sz="8" w:color="auto"/>
              <w:bottom w:val="single" w:sz="8" w:color="auto"/>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468,764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19,415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514,901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revenues were not material for the years ended December 31, 2023, 2022 and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Contract liabilities were $0.6 million, $0.2 million and $1.3 million as of December 31, 2023, 2022, and 2021, respectively. Substantially all of these balances are recognized as revenue within 12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contract assets were not material for any period presented.</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Impairment losses recognized on receivables or contract assets arising from the Company's contracts with customers were $0.5 million for the year ended December 31, 2023. For the years ended December 31, 2022 or 2021, the impairment losses on receivables or contract assets arising from the Company's contracts with customers were not 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Settlement Assets and Customer/Subscriber Account Balances and Related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SMB Payments Segment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 Member banks held merchant funds of $98.0 million and $110.3 million at December 31, 2023 and 2022, respectively.</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Exception items that become the liability of the Company are recorded as merchant losses, a component of costs of services in the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Consolidated Balance Sheets, with an offsetting reserve for those amounts the Company estimates it will not be able to recover. Expenses for merchant losses for the years ended December 31, 2023, 2022 and 2021 were $6.2 million, $4.4 million and $2.8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B2B Payments Segment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Company's B2B Payments segment, the Company earns revenues from certain of its services by processing transactions for FIs and other business customers. Customers transfer funds to the Company, which are held in either Company-owned bank accounts controlled by the Company or bank-owned FBO accounts controlled by the banks, until such time as the transactions are settled with the customer payees. Amounts due to customer payees that are held by the Company in Company-owned bank accounts are included in restricted cash. Amounts due to customer payees that are held in bank-owned FBO accounts are not assets of the Company. As such, the associated obligations related to these funds are not liabilities of the Company; therefore, neither is recognized in the Company's Consolidated Balance Sheets. Bank-owned FBO accounts held funds of $69.0 million and $52.9 million at December 31, 2023 and 2022, respectively. Company-owned bank accounts held $1.2 million and $4.1 million at December 31, 2023 and 2022, respectively, which are included in restricted cash and settlement obligations in the Company's Consolidated Balance Sheets.</w:t>
      </w:r>
    </w:p>
    <w:p>
      <w:pPr>
        <w:spacing w:after="0" w:line="192" w:lineRule="exact"/>
        <w:rPr>
          <w:sz w:val="20"/>
          <w:szCs w:val="20"/>
          <w:color w:val="auto"/>
        </w:rPr>
      </w:pPr>
    </w:p>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t>For the Plastiq business, the Company accepts card payments from its customers and processes disbursements to their vendors. The time lag between authorization and settlement of card transactions creates certain receivables (from card networks) and payables (to the vendors of customers). These receivables and payables arise from the settlement activities that the Company performs on the behalf of its customers and therefore, are presented as Settlement assets and related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Payments Segment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Company's Enterprise Payments segment, revenue is derived primarily from enrollment fees, monthly subscription fees, transaction-based fees and money transmission services fees. As part of its licensed money transmission services, the Company accepts deposits from customers and subscribers which are held in bank accounts maintained by the Company on behalf of customers and subscribers. After accepting deposits, the Company is allowed to invest available balances in these accounts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is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Consolidated Balance Sheets.</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$19.6 million and $6.1 million and at December 31, 2023 and 2022, respectively.</w:t>
      </w: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consolidated settlement assets and customer/subscriber account balances and settlement and customer/subscriber account obligations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9"/>
        </w:trPr>
        <w:tc>
          <w:tcPr>
            <w:tcW w:w="718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Settlement Assets, net of estimated losses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settlements due from merchants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Card settlements due from networks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Customer/Subscriber Account Balances: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531,574</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assets and customer/subscriber account balances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756,475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532,018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and Customer/Subscriber Account Obligations: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516,086</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Subscriber account obligations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15,488</w:t>
            </w:r>
          </w:p>
        </w:tc>
      </w:tr>
      <w:tr>
        <w:trPr>
          <w:trHeight w:val="223"/>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customer/subscriber account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531,574</w:t>
            </w:r>
          </w:p>
        </w:tc>
      </w:tr>
      <w:tr>
        <w:trPr>
          <w:trHeight w:val="229"/>
        </w:trPr>
        <w:tc>
          <w:tcPr>
            <w:tcW w:w="7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Due to customer payees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and customer/subscriber account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533,340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1"/>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Allowance for estimated losses was $6.6 million and $5.0 million as of December 31, 2023 and 2022, respectively</w:t>
      </w:r>
    </w:p>
    <w:p>
      <w:pPr>
        <w:spacing w:after="0" w:line="197" w:lineRule="exact"/>
        <w:rPr>
          <w:rFonts w:ascii="Times New Roman" w:cs="Times New Roman" w:eastAsia="Times New Roman" w:hAnsi="Times New Roman"/>
          <w:sz w:val="23"/>
          <w:szCs w:val="23"/>
          <w:color w:val="auto"/>
          <w:vertAlign w:val="superscript"/>
        </w:rPr>
      </w:pPr>
    </w:p>
    <w:p>
      <w:pPr>
        <w:ind w:left="660" w:right="100" w:hanging="328"/>
        <w:spacing w:after="0" w:line="229" w:lineRule="auto"/>
        <w:tabs>
          <w:tab w:leader="none" w:pos="648" w:val="left"/>
        </w:tabs>
        <w:numPr>
          <w:ilvl w:val="1"/>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Card settlements due from networks includes $8.2 million as of December 31, 2023 of related assets and remainder are included in restricted cash on our Consolidated Balance Sheets. There were no card settlements due from networks in 2022.</w:t>
      </w:r>
    </w:p>
    <w:p>
      <w:pPr>
        <w:spacing w:after="0" w:line="200" w:lineRule="exact"/>
        <w:rPr>
          <w:rFonts w:ascii="Times New Roman" w:cs="Times New Roman" w:eastAsia="Times New Roman" w:hAnsi="Times New Roman"/>
          <w:sz w:val="23"/>
          <w:szCs w:val="23"/>
          <w:color w:val="auto"/>
          <w:vertAlign w:val="superscript"/>
        </w:rPr>
      </w:pPr>
    </w:p>
    <w:p>
      <w:pPr>
        <w:spacing w:after="0" w:line="345"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notes receivable of $5.2 million and $4.7 million as of December 31, 2023 and 2022, respectively, which are reported as current portion of notes receivable and notes receivable less current portion on the Company's Consolidated Balance Sheets. The notes bear a weighted-average interest rate of 18.6% and 15.4% as of December 31, 2023 and 2022, respectively. The notes receivable are comprised of notes receivable from ISOs, and under the terms of the agreements the Company preserves the right to hold back residual payments due to the ISOs and to apply such residuals against future payments due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principal payments for the Company's notes receivables are due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As of December 31, 2023 and 2022, the Company had no allowance for doubtful notes receivable.</w:t>
            </w: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1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Equipment and Software</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property, equipment and software, net was as follows: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8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87,398</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(58,409)</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in-progress</w:t>
            </w:r>
          </w:p>
        </w:tc>
        <w:tc>
          <w:tcPr>
            <w:tcW w:w="8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8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44,680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34,687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Computer software consists of purchased software, internally developed back office systems including those used to assist in the reporting of merchant processing transactions and other related information.</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Fully depreciated assets are retained in property, equipment and software, net, until removed from service. During the year ended December 31, 2023, certain fully depreciated assets were removed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20" w:firstLine="8"/>
        <w:spacing w:after="0" w:line="503" w:lineRule="auto"/>
        <w:tabs>
          <w:tab w:leader="none" w:pos="31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 records goodwill upon acquisition of a business when the purchase price is greater than the fair value assigned to the underlying separately identifiable tangible and intangible assets acquired and the liabilities assumed. The Company's goodwill relates to the following reporting units: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7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Payments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124,625</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Payments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Plastiq (B2B Payments)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369,337</w:t>
            </w:r>
          </w:p>
        </w:tc>
        <w:tc>
          <w:tcPr>
            <w:tcW w:w="0" w:type="dxa"/>
            <w:vAlign w:val="bottom"/>
          </w:tcPr>
          <w:p>
            <w:pPr>
              <w:spacing w:after="0"/>
              <w:rPr>
                <w:sz w:val="1"/>
                <w:szCs w:val="1"/>
                <w:color w:val="auto"/>
              </w:rPr>
            </w:pPr>
          </w:p>
        </w:tc>
      </w:tr>
      <w:tr>
        <w:trPr>
          <w:trHeight w:val="21"/>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value of goodwill:</w:t>
            </w: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365,740</w:t>
            </w: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Final purchase price adjustment for Finxera</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Ovvi acquisition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369,337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price adjustment for Ovvi</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Plastiq acquisition and purchase price adjustments</w:t>
            </w:r>
          </w:p>
        </w:tc>
        <w:tc>
          <w:tcPr>
            <w:tcW w:w="2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376,103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business combinations consummated during the year ended December 31, 2023, goodwill was fully deductible for income tax purposes.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performed its most recent annual goodwill impairment analysis as of October 1, 2023, as noted below:</w:t>
      </w:r>
    </w:p>
    <w:p>
      <w:pPr>
        <w:spacing w:after="0" w:line="225" w:lineRule="exact"/>
        <w:rPr>
          <w:sz w:val="20"/>
          <w:szCs w:val="20"/>
          <w:color w:val="auto"/>
        </w:rPr>
      </w:pPr>
    </w:p>
    <w:p>
      <w:pPr>
        <w:ind w:left="660" w:right="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the goodwill impairment analysis, the Company determined the reporting units were Enterprise Payments, SMB Payments, and Plastiq, a component of the B2B Payments operating segment, as allowed by ASC 350.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SMB Payments operating segment experienced a decrease in bankcard volume and revenue during 2023 due to the diversification of an ISV. Additionally, this operating segment also experienced compressed margins due to expenses associated with costs of sales increasing at a larger rate than revenue. Considering the most recent fair value valuation was performed in 2019, the Company elected the option to unconditionally bypass the qualitative impairment analysis and proceed with performing the quantitative analysis for the SMB Payments reporting unit as allowed by ASC 350. For the purpose of the quantitative analysis, the guideline public company method and the discounted cash flow method (equally weighted) were determined to be the appropriate methodology. The impairment analysis concluded the fair value of the reporting unit was greater than its carrying amount and therefore, no impairment was recognized.</w:t>
      </w:r>
    </w:p>
    <w:p>
      <w:pPr>
        <w:spacing w:after="0" w:line="188"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The Company's Enterprise Payments operating segment had an increase in volumes, revenue and margins for 2023. The remaining goodwill related to the acquisition of Plastiq (see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Given the performance of the Enterprise Payments operating segment and the relatively short time passed since the Plastiq acquisition, the Company elected to perform the qualitative impairment analysis for these reporting units. Under the qualitative impairment analysis, the Company identified drivers which may affect the reporting units' fair value, determined which events and circumstances impacted those drivers and concluded it was not more likely than not that the fair value of the reporting units was less than the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for the years ended December 31, 2023, 2022 or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is not aware of any triggering events that have occurred since October 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other intangible assets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145,833</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6.5</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9.0</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gross carrying value</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580,103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(306,753)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273,350</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151,279</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6.6</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32,397</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gross carrying value</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539,684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(250,890)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288,794</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of intangible assets as of December 31, 2023, for the next five years and thereafter is: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2"/>
                <w:szCs w:val="22"/>
                <w:color w:val="auto"/>
              </w:rPr>
            </w:pPr>
          </w:p>
        </w:tc>
        <w:tc>
          <w:tcPr>
            <w:tcW w:w="2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r>
      <w:tr>
        <w:trPr>
          <w:trHeight w:val="24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1"/>
                <w:szCs w:val="21"/>
                <w:color w:val="auto"/>
              </w:rPr>
            </w:pPr>
          </w:p>
        </w:tc>
        <w:tc>
          <w:tcPr>
            <w:tcW w:w="2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3"/>
        </w:trPr>
        <w:tc>
          <w:tcPr>
            <w:tcW w:w="8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40,559</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34,480</w:t>
            </w: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33,691</w:t>
            </w: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31,427</w:t>
            </w: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r>
      <w:tr>
        <w:trPr>
          <w:trHeight w:val="230"/>
        </w:trPr>
        <w:tc>
          <w:tcPr>
            <w:tcW w:w="8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107,667</w:t>
            </w:r>
          </w:p>
        </w:tc>
      </w:tr>
      <w:tr>
        <w:trPr>
          <w:trHeight w:val="248"/>
        </w:trPr>
        <w:tc>
          <w:tcPr>
            <w:tcW w:w="88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271,250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will not agree to the intangible asset net book value due to intangible assets with indefinite useful life.</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tests intangible assets for impairment when events occur or circumstances indicate that the fair value of an intangible asset or group of intangible assets may be impaired.</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also considered the market conditions and other factors and concluded that there were no additional impairment indicators present at December 31, 2023.</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leases consist primarily of real estate leases for office space, which are classified as operating leases. Lease expense for the Company's operating leases is recognized on a straight-line basis over the term of the lease. The Company did not have any finance leases at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ROU Assets and lease liabilities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3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5,427</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4,593</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4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3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obligations - current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1,336</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 - noncurrent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4,110</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obligations</w:t>
            </w: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6,174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5,446</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7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1,760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r>
    </w:tbl>
    <w:p>
      <w:pPr>
        <w:spacing w:after="0" w:line="262"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short-term lease expense and sublease income, which was immaterial for the years ended December 31, 2023 and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513"/>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Commitments</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Future minimum lease payments for the Company's real estate operating leases at December 31, 2023 were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 Due</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3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48"/>
        </w:trPr>
        <w:tc>
          <w:tcPr>
            <w:tcW w:w="7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lease payments, net of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Accrued Expenses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accounts payable and accrued expenses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7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card network fees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51,864</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debt obligations consisted of the following:</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3"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Term facility - matures April 27, 2027, interest rate of 11.21% and 9.82% at December 31, 2023 and 2022, respectively</w:t>
      </w:r>
    </w:p>
    <w:p>
      <w:pPr>
        <w:spacing w:after="0" w:line="10" w:lineRule="exact"/>
        <w:rPr>
          <w:sz w:val="20"/>
          <w:szCs w:val="20"/>
          <w:color w:val="auto"/>
        </w:rPr>
      </w:pPr>
    </w:p>
    <w:p>
      <w:pPr>
        <w:ind w:left="140" w:right="140"/>
        <w:spacing w:after="0" w:line="237" w:lineRule="auto"/>
        <w:rPr>
          <w:sz w:val="20"/>
          <w:szCs w:val="20"/>
          <w:color w:val="auto"/>
        </w:rPr>
      </w:pPr>
      <w:r>
        <w:rPr>
          <w:rFonts w:ascii="Times New Roman" w:cs="Times New Roman" w:eastAsia="Times New Roman" w:hAnsi="Times New Roman"/>
          <w:sz w:val="18"/>
          <w:szCs w:val="18"/>
          <w:color w:val="auto"/>
        </w:rPr>
        <w:t>Revolving credit facility - $65.0 million ($40.0 million for 2022) line, matures April 27, 2026, interest rate of 10.20% and 8.82% at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Total debt obligations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533"/>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654,373</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610,700</w:t>
            </w:r>
          </w:p>
        </w:tc>
      </w:tr>
      <w:tr>
        <w:trPr>
          <w:trHeight w:val="419"/>
        </w:trPr>
        <w:tc>
          <w:tcPr>
            <w:tcW w:w="160" w:type="dxa"/>
            <w:vAlign w:val="bottom"/>
          </w:tcPr>
          <w:p>
            <w:pPr>
              <w:spacing w:after="0"/>
              <w:rPr>
                <w:sz w:val="24"/>
                <w:szCs w:val="24"/>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94"/>
        </w:trPr>
        <w:tc>
          <w:tcPr>
            <w:tcW w:w="1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r>
      <w:tr>
        <w:trPr>
          <w:trHeight w:val="218"/>
        </w:trPr>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623,200</w:t>
            </w:r>
          </w:p>
        </w:tc>
      </w:tr>
      <w:tr>
        <w:trPr>
          <w:trHeight w:val="230"/>
        </w:trPr>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4"/>
        </w:trPr>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(18,074)</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631,965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598,926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300"/>
            <w:col w:w="3880"/>
          </w:cols>
          <w:pgMar w:left="320" w:top="121"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terms and conditions existing at December 31, 2023, future minimum principal payments for long-term debt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2"/>
                <w:szCs w:val="22"/>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Term Facility</w:t>
            </w:r>
          </w:p>
        </w:tc>
        <w:tc>
          <w:tcPr>
            <w:tcW w:w="1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20" w:type="dxa"/>
            <w:vAlign w:val="bottom"/>
          </w:tcPr>
          <w:p>
            <w:pPr>
              <w:spacing w:after="0"/>
              <w:rPr>
                <w:sz w:val="22"/>
                <w:szCs w:val="22"/>
                <w:color w:val="auto"/>
              </w:rPr>
            </w:pP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Principal Due</w:t>
            </w: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634,237</w:t>
            </w:r>
          </w:p>
        </w:tc>
      </w:tr>
      <w:tr>
        <w:trPr>
          <w:trHeight w:val="248"/>
        </w:trPr>
        <w:tc>
          <w:tcPr>
            <w:tcW w:w="4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654,373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Additionally, the Company may be obligated to make certain additional mandatory prepayments after the end of each year based on excess cash flow, as defined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the Company entered into a Credit Agreement with Truist which provides for: 1) a $300.0 million Initial Term Loan; 2) a</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$290.0 million Delayed Draw Term Loan (together, the "Term Facility"); and 3) a $40.0 million senior secured revolving credit facility. The First Amendment to the Credit Agreement on May 20, 2021, clarified and provided further detail on the Credit Agreement's terms. The Second Amendment to the Credit Agreement on September 17, 2021, increased the amount of the Delayed Draw Term Loan facility by $30.0 million to $320.0 million. The additional Delayed Draw Term Loan is part of the same class of term loans made pursuant to the original commitments under the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Amendment to the April 2021 Credit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Credit Agreement of the Company was amended to incorporate the following:</w:t>
      </w:r>
    </w:p>
    <w:p>
      <w:pPr>
        <w:spacing w:after="0" w:line="221" w:lineRule="exact"/>
        <w:rPr>
          <w:sz w:val="20"/>
          <w:szCs w:val="20"/>
          <w:color w:val="auto"/>
        </w:rPr>
      </w:pPr>
    </w:p>
    <w:p>
      <w:pPr>
        <w:ind w:left="660" w:right="160" w:hanging="328"/>
        <w:spacing w:after="0" w:line="25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 The reference rate for the calculation of interest on the Company’s term loan and revolving credit facility was amended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LIBOR to SOFR effective June 30, 2023. Per the amended terms, the outstanding borrowings under the Credit Agreement interest will accrue using the SOFR rate plus a term SOFR adjustment plus an applicable margin per year, subject to a SOFR floor of 1.00% per year. The applicable interest rate as of December 31, 2023, for the revolving credit facility based on one-month SOFR was 10.20% and for the term facility based on one-month SOFR was 11.21%.</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right="420" w:hanging="328"/>
        <w:spacing w:after="0" w:line="28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 in the revolving credit facility: </w:t>
      </w:r>
      <w:r>
        <w:rPr>
          <w:rFonts w:ascii="Times New Roman" w:cs="Times New Roman" w:eastAsia="Times New Roman" w:hAnsi="Times New Roman"/>
          <w:sz w:val="18"/>
          <w:szCs w:val="18"/>
          <w:color w:val="auto"/>
        </w:rPr>
        <w:t>The amendments also resulted in an increase in the Company’s revolving credit facility from $40.0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to $65.0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to the April 2021 Credit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 2023, the Company modified its existing Term Facility Credit agreement with Truist. The agreement increased the principal balance by</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$50.0 million and increased the quarterly principal amortization payment from $1.6 million to $1.7 million. There were no other significant modifications to the Credit Agreement.</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Credit Agreement accrue interest using either a base rate or a SOFR rate plus an applicable margin per year, subject to a SOFR rate floor of 1.00% per year. Accrued interest is payable on each interest payment date (as defined in the Credit Agreement).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Prepayments of outstanding principal may be made in permitted increments subject to a 1.00% penalty for certain prepayments made in connection with repricing transactions.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Proceeds from the Initial Term Loan were used to partially fund the refinancing of the Company's existing credit facilities as of April 27, 2021. Proceeds from the Delayed Draw Term Loan were used to fund the Company's acquisition of Finxera. Proceeds from the Fourth Amendment were used to repay the balance of the revolving credit facility (used to acquire Plastiq business) and added additional cash for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and Amortization of Deferred Loan Costs and Discounts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 are included in long-term debt on the Company's 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5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2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36,485</w:t>
            </w:r>
          </w:p>
        </w:tc>
      </w:tr>
    </w:tbl>
    <w:p>
      <w:pPr>
        <w:spacing w:after="0" w:line="292" w:lineRule="exact"/>
        <w:rPr>
          <w:sz w:val="20"/>
          <w:szCs w:val="20"/>
          <w:color w:val="auto"/>
        </w:rPr>
      </w:pPr>
    </w:p>
    <w:p>
      <w:pPr>
        <w:ind w:left="660" w:right="100" w:hanging="328"/>
        <w:spacing w:after="0" w:line="229"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this amount is $1.7 million and $0.9 million of interest expense related to the accretion of contingent considerations from acquisitions for December 31, 2023 and 2022.</w:t>
      </w:r>
    </w:p>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included amortization of deferred financing costs and debt discounts of $3.8 million, $3.5 million and $4.0 million for the years ended December 31, 2023, 2022 and 2021, respectively.</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Third Amendment in June 2023, the Company incurred $0.8 million of deferred loan costs. The Fourth Amendment in October 2023 was issued at a discount of $0.3 million. These costs, along with other capitalized modification costs of $0.4 million, will be amortized over the remaining period of the existing Term Loan as a reduction of the carrying amount of the debt obligation. Debt issuance costs of $0.1 million for the Fourth Amendment were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 The outstanding amount of any loans and any other amounts owed under the Credit Agreement may, after the occurrence of an event of default, at the option of Truist on behalf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lenders representing a majority of the commitments, be declared immediately due and payable. Events of default include the failure of the Company to make principal, premium or interest payment when due, or the failure by the Company to perform or comply with any term or covenant in the Credit Agreement, after any applicable cure period.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December 31, 2023,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Senior Preferred Stock and Warrants</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April 27, 2021, the Company entered into an agreement pursuant to which it issued 150,000 shares of redeemable senior preferred stock, par value $0.001 per share, and a detachable warrant to purchase 1,803,841 shares of the Company's Common Stock, for gross proceeds of $150.0 million, less a $5.0 million discount and $5.5 million of issuance costs.</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agreement also provided the Company the option to issue an additional 50,000 shares of redeemable senior preferred stock upon the closing of the Finxera acquisition for $50.0 million, less a $0.6 million discount and within 18 months after the issuance of those additional shares, subject to the satisfaction of certain customary closing conditions. The Company was also provided with the option to issue an additional delayed 50,000 shares at a purchase price of $50.0 million, less a $0.6 million discount, subject to the satisfaction of certain customary closing conditions.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total net proceeds of $139.5 million, $131.4 million was allocated to the redeemable senior preferred stock, $11.4 million was allocated to additional paid-in capital for the warrants and $3.3 million was allocated to noncurrent assets for the committed financing put right.</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September 17, 2021, the Company issued an additional 75,000 shares of redeemable senior preferred stock for $75.0 million, less a $0.9 million discount, $0.7 million of ticking fees and $1.9 million of issuance costs. Upon issuance of these additional shares, the $3.3 million that was previously allocated to noncurrent assets for the committed financing put right was reclassified to the redeemable senior preferred stock.</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redeemable senior preferred stock ranks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redeemable senior preferred stock does not meet the definition of a liability pursuant to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it is redeemable upon the occurrence of events that are not solely within the Company's control. Therefore, the Company classified the redeemable senior preferred stock as temporary equity and is accreting the carrying amount to its full redemption amount from the date of issuance to the earliest redemption date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redemption value of the redeemable senior preferred stock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senior preferred stock</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unpaid dividend</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25,498</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2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Redemption value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255,839</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discounts and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senior preferred stock, net of discounts and issuance costs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258,605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235,579</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carrying amounts of the redeemable senior preferred stock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210,158</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portion of dividend and ticking fee outstanding at the end of the year</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235,579</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portion of dividend outstanding at December 31, 2023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cash portion of dividend and ticking fee outstanding at December 31, 2022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258,605</w:t>
            </w:r>
          </w:p>
        </w:tc>
      </w:tr>
      <w:tr>
        <w:trPr>
          <w:trHeight w:val="21"/>
        </w:trPr>
        <w:tc>
          <w:tcPr>
            <w:tcW w:w="8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30, 2023, the Company amended the Certificate of Designation of its redeemable senior preferred stock to transition the reference rate used for the calculation of dividends from LIBOR to SOFR. Under the Amended Certificate of Designation, the dividend rate (capped at 22.50%) will be equal to the three-month term SOFR (minimum of 1.00%), plus the three-month term SOFR spread adjustment of 0.26% plus the applicable margin of 12.00%. All other terms in the agreement were unchanged. For the three months ended December 31, 2023, SOFR is the reference rate for calculation of the dividend. The dividend rate is subject to future increases if the Company doesn't comply with the minimum cash payment requirements outlined in the agreement, which includes required payments of dividends, required payments related to redemption or required prepayments. The dividend rate may also increase if the Company fails to obtain the required stockholder approval for a forced sale transaction triggered by investors or if an event of default as outlined in the agreement occurs. The dividend rate as of December 31, 2023, and 2022 was 17.7% and 15.7% respectively.</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dividends for the period presented:</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paid in cash</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33" w:lineRule="auto"/>
        <w:rPr>
          <w:sz w:val="20"/>
          <w:szCs w:val="20"/>
          <w:color w:val="auto"/>
        </w:rPr>
      </w:pPr>
      <w:r>
        <w:rPr>
          <w:rFonts w:ascii="Times New Roman" w:cs="Times New Roman" w:eastAsia="Times New Roman" w:hAnsi="Times New Roman"/>
          <w:sz w:val="18"/>
          <w:szCs w:val="18"/>
          <w:color w:val="auto"/>
        </w:rPr>
        <w:t>Accumulated dividends accrued as part of the carrying value of redeemable senior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8"/>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w:t>
            </w:r>
          </w:p>
        </w:tc>
      </w:tr>
      <w:tr>
        <w:trPr>
          <w:trHeight w:val="319"/>
        </w:trPr>
        <w:tc>
          <w:tcPr>
            <w:tcW w:w="5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w:t>
            </w:r>
          </w:p>
        </w:tc>
      </w:tr>
      <w:tr>
        <w:trPr>
          <w:trHeight w:val="94"/>
        </w:trPr>
        <w:tc>
          <w:tcPr>
            <w:tcW w:w="5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33,594</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240"/>
            <w:col w:w="4340"/>
          </w:cols>
          <w:pgMar w:left="320" w:top="121" w:right="339" w:bottom="1440" w:gutter="0" w:footer="0" w:header="0"/>
          <w:type w:val="continuous"/>
        </w:sectPr>
      </w:pPr>
    </w:p>
    <w:p>
      <w:pPr>
        <w:spacing w:after="0" w:line="74"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this amount is $7.0 million and $5.3 million of dividends outstanding as of December 31, 2023 and 2022 respectively.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15"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cumulative dividends in arrears in aggregate and per-share:</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Cumulative preferred dividends in arrears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right="2580"/>
        <w:spacing w:after="0" w:line="297" w:lineRule="auto"/>
        <w:rPr>
          <w:sz w:val="20"/>
          <w:szCs w:val="20"/>
          <w:color w:val="auto"/>
        </w:rPr>
      </w:pPr>
      <w:r>
        <w:rPr>
          <w:rFonts w:ascii="Times New Roman" w:cs="Times New Roman" w:eastAsia="Times New Roman" w:hAnsi="Times New Roman"/>
          <w:sz w:val="18"/>
          <w:szCs w:val="18"/>
          <w:color w:val="auto"/>
        </w:rPr>
        <w:t>Redeemable senior preferred stock, outstanding Cumulative preferred dividends in arrears,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17"/>
                <w:szCs w:val="17"/>
                <w:color w:val="auto"/>
              </w:rPr>
            </w:pPr>
          </w:p>
        </w:tc>
        <w:tc>
          <w:tcPr>
            <w:tcW w:w="19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0"/>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25,497</w:t>
            </w:r>
          </w:p>
        </w:tc>
      </w:tr>
      <w:tr>
        <w:trPr>
          <w:trHeight w:val="230"/>
        </w:trPr>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4"/>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bl>
    <w:p>
      <w:pPr>
        <w:spacing w:after="0" w:line="248" w:lineRule="exact"/>
        <w:rPr>
          <w:sz w:val="20"/>
          <w:szCs w:val="20"/>
          <w:color w:val="auto"/>
        </w:rPr>
      </w:pPr>
    </w:p>
    <w:p>
      <w:pPr>
        <w:sectPr>
          <w:pgSz w:w="11900" w:h="16838" w:orient="portrait"/>
          <w:cols w:equalWidth="0" w:num="2">
            <w:col w:w="6360" w:space="540"/>
            <w:col w:w="4340"/>
          </w:cols>
          <w:pgMar w:left="320" w:top="121" w:right="339" w:bottom="1440" w:gutter="0" w:footer="0" w:header="0"/>
        </w:sectPr>
      </w:pPr>
    </w:p>
    <w:p>
      <w:pPr>
        <w:spacing w:after="0" w:line="4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redeemable senior preferred shares have no stated maturity and will remain outstanding indefinitely until redeemed or otherwise repurchased by the Company. Outstanding shares of redeemable senior preferred stock can be redeemed at the option of the Company for cash in whole or in part at the following redemption price:</w:t>
      </w:r>
    </w:p>
    <w:p>
      <w:pPr>
        <w:spacing w:after="0" w:line="226" w:lineRule="exact"/>
        <w:rPr>
          <w:sz w:val="20"/>
          <w:szCs w:val="20"/>
          <w:color w:val="auto"/>
        </w:rPr>
      </w:pPr>
    </w:p>
    <w:p>
      <w:pPr>
        <w:ind w:left="20"/>
        <w:spacing w:after="0"/>
        <w:tabs>
          <w:tab w:leader="none" w:pos="3140" w:val="left"/>
        </w:tabs>
        <w:rPr>
          <w:sz w:val="20"/>
          <w:szCs w:val="20"/>
          <w:color w:val="auto"/>
        </w:rPr>
      </w:pPr>
      <w:r>
        <w:rPr>
          <w:rFonts w:ascii="Times New Roman" w:cs="Times New Roman" w:eastAsia="Times New Roman" w:hAnsi="Times New Roman"/>
          <w:sz w:val="18"/>
          <w:szCs w:val="18"/>
          <w:b w:val="1"/>
          <w:bCs w:val="1"/>
          <w:color w:val="auto"/>
        </w:rPr>
        <w:t>Redemption Date</w:t>
      </w:r>
      <w:r>
        <w:rPr>
          <w:sz w:val="20"/>
          <w:szCs w:val="20"/>
          <w:color w:val="auto"/>
        </w:rPr>
        <w:tab/>
      </w:r>
      <w:r>
        <w:rPr>
          <w:rFonts w:ascii="Times New Roman" w:cs="Times New Roman" w:eastAsia="Times New Roman" w:hAnsi="Times New Roman"/>
          <w:sz w:val="17"/>
          <w:szCs w:val="17"/>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5911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6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100% of liquidation preference (i.e., $1,000 per share) plus any accrued and unpaid dividends and the make-</w:t>
      </w:r>
    </w:p>
    <w:p>
      <w:pPr>
        <w:spacing w:after="0" w:line="27" w:lineRule="exact"/>
        <w:rPr>
          <w:sz w:val="20"/>
          <w:szCs w:val="20"/>
          <w:color w:val="auto"/>
        </w:rPr>
      </w:pPr>
    </w:p>
    <w:p>
      <w:pPr>
        <w:ind w:left="3160" w:right="120" w:hanging="3131"/>
        <w:spacing w:after="0" w:line="265" w:lineRule="auto"/>
        <w:tabs>
          <w:tab w:leader="none" w:pos="3140" w:val="left"/>
        </w:tabs>
        <w:rPr>
          <w:sz w:val="20"/>
          <w:szCs w:val="20"/>
          <w:color w:val="auto"/>
        </w:rPr>
      </w:pPr>
      <w:r>
        <w:rPr>
          <w:rFonts w:ascii="Times New Roman" w:cs="Times New Roman" w:eastAsia="Times New Roman" w:hAnsi="Times New Roman"/>
          <w:sz w:val="35"/>
          <w:szCs w:val="35"/>
          <w:color w:val="auto"/>
          <w:vertAlign w:val="subscript"/>
        </w:rPr>
        <w:t>Prior to April 27, 2023</w:t>
      </w:r>
      <w:r>
        <w:rPr>
          <w:sz w:val="20"/>
          <w:szCs w:val="20"/>
          <w:color w:val="auto"/>
        </w:rPr>
        <w:tab/>
      </w:r>
      <w:r>
        <w:rPr>
          <w:rFonts w:ascii="Times New Roman" w:cs="Times New Roman" w:eastAsia="Times New Roman" w:hAnsi="Times New Roman"/>
          <w:sz w:val="17"/>
          <w:szCs w:val="17"/>
          <w:color w:val="auto"/>
        </w:rPr>
        <w:t>whole amount (i.e., present value of additional 2% of the liquidation preference plus any accrued and unpaid dividends thereon through the redemption date plus 102% of the amount of dividends that will accrue from the</w:t>
      </w:r>
    </w:p>
    <w:p>
      <w:pPr>
        <w:ind w:left="3160"/>
        <w:spacing w:after="0"/>
        <w:rPr>
          <w:sz w:val="20"/>
          <w:szCs w:val="20"/>
          <w:color w:val="auto"/>
        </w:rPr>
      </w:pPr>
      <w:r>
        <w:rPr>
          <w:rFonts w:ascii="Times New Roman" w:cs="Times New Roman" w:eastAsia="Times New Roman" w:hAnsi="Times New Roman"/>
          <w:sz w:val="18"/>
          <w:szCs w:val="18"/>
          <w:color w:val="auto"/>
        </w:rPr>
        <w:t>redemption date through April 27, 2023)</w:t>
      </w:r>
    </w:p>
    <w:p>
      <w:pPr>
        <w:sectPr>
          <w:pgSz w:w="11900" w:h="16838" w:orient="portrait"/>
          <w:cols w:equalWidth="0" w:num="1">
            <w:col w:w="11240"/>
          </w:cols>
          <w:pgMar w:left="320" w:top="121" w:right="339" w:bottom="1440" w:gutter="0" w:footer="0" w:header="0"/>
          <w:type w:val="continuous"/>
        </w:sectPr>
      </w:pP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27, 2023 - April 26, 2024</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27, 2024 and thereafter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102% of the sum of the (a) outstanding liquidation preference plus (b) any accrued and unpaid dividends through and including the applicable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7132320"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540"/>
        <w:spacing w:after="0" w:line="282" w:lineRule="auto"/>
        <w:rPr>
          <w:sz w:val="20"/>
          <w:szCs w:val="20"/>
          <w:color w:val="auto"/>
        </w:rPr>
      </w:pPr>
      <w:r>
        <w:rPr>
          <w:rFonts w:ascii="Times New Roman" w:cs="Times New Roman" w:eastAsia="Times New Roman" w:hAnsi="Times New Roman"/>
          <w:sz w:val="18"/>
          <w:szCs w:val="18"/>
          <w:color w:val="auto"/>
        </w:rPr>
        <w:t>100% of the sum of the (a) outstanding liquidation preference plus (b) any accrued and unpaid dividends through and including the applicable redemption date</w:t>
      </w:r>
    </w:p>
    <w:p>
      <w:pPr>
        <w:spacing w:after="0" w:line="200" w:lineRule="exact"/>
        <w:rPr>
          <w:sz w:val="20"/>
          <w:szCs w:val="20"/>
          <w:color w:val="auto"/>
        </w:rPr>
      </w:pPr>
    </w:p>
    <w:p>
      <w:pPr>
        <w:sectPr>
          <w:pgSz w:w="11900" w:h="16838" w:orient="portrait"/>
          <w:cols w:equalWidth="0" w:num="2">
            <w:col w:w="2440" w:space="720"/>
            <w:col w:w="8080"/>
          </w:cols>
          <w:pgMar w:left="320" w:top="121" w:right="339" w:bottom="1440" w:gutter="0" w:footer="0" w:header="0"/>
          <w:type w:val="continuous"/>
        </w:sectPr>
      </w:pPr>
    </w:p>
    <w:p>
      <w:pPr>
        <w:spacing w:after="0" w:line="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Upon the occurrence of a change in control or a liquidation event, the Company will redeem all of the outstanding redeemable senior preferred shares for cash at the applicable redemption price described above.</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holders of the redeemable senior preferred stock may request the Company to pursue a sale transaction for the purpose of redeeming the redeemable senior preferred stock from and after the earliest of: 1) October 27, 2028; 2) 30 days after the redeemable senior preferred stockholders provide written notice to the Company of a failure by the Company to take steps within its control to prevent the Company's Common Stock from no longer being listed; and 3) the date that is 90 days following the Company's failure to consummate a mandatory redemption of the redeemable senior preferred stock upon the occurrence of a change in control or liquidation event.</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Company used the proceeds from the April 2021 sale of the redeemable senior preferred stock to partially fund the refinancing to partially fund the Wholesale Payments, Inc. and C&amp;H Financial Services, Inc. acquisitions in the second quarter of 2021 (see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xml:space="preserve">) and to pay certain fees and expenses relating to the Refinancing and the offering of the redeemable senior preferred stock and warrants. The Company used the proceeds from the September 2021 sale of additional shares of redeemable senior preferred stock to fund the Finxera acquisition (see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April 27, 2021 the Company issued warrants to purchase up to 1,803,841 shares of the Company's Common Stock, par value $0.001 per share, at an exercise price of $0.001. The exercise price and the number of shares issuable upon exercise of the warrants are subject to certain adjustments from time to time on the terms outlined in the warrants. These warrants were exercisable upon issuance. In connection with the issuance of the warrants, the Company entered into an agreement pursuant to which it agreed to provide certain registration rights with respect to the common shares issuable upon exercise of the warrants. Under this agreement the holders of the related shares of Common Stock were granted piggyback rights to be included in certain underwritten offerings of Common Stock and the right to demand a shelf registration of the shares of Common Stock issued upon exercise of the warrants. As of December 31, 2023, none of the warrants have been exercised. The warrants are considered to be equity contracts indexed in the Company's own shares and therefore were recorded at their inception date relative fair value and are included in additional paid-in capital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consolidated income tax (benefit) expense were as follows:</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40" w:type="dxa"/>
            <w:vAlign w:val="bottom"/>
            <w:tcBorders>
              <w:bottom w:val="single" w:sz="8" w:color="auto"/>
            </w:tcBorders>
          </w:tcPr>
          <w:p>
            <w:pPr>
              <w:spacing w:after="0"/>
              <w:rPr>
                <w:sz w:val="24"/>
                <w:szCs w:val="24"/>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current income tax expense (benefit)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3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5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deferred income tax expense (benefit)</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3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29"/>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48"/>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Company's consolidated effective income tax rate was 118.3% for the year ended December 31, 2023, compared to a consolidated effective income tax rate of 167.2% for the year ended December 31, 2022. For the year ended December 31, 2021, the Company's consolidated effective income tax benefit rate was 135.9%. The effective rate for 2023 differed from the statutory rate of 21% primarily due to: 1) </w:t>
      </w:r>
      <w:r>
        <w:rPr>
          <w:rFonts w:ascii="Times New Roman" w:cs="Times New Roman" w:eastAsia="Times New Roman" w:hAnsi="Times New Roman"/>
          <w:sz w:val="18"/>
          <w:szCs w:val="18"/>
          <w:color w:val="222222"/>
        </w:rPr>
        <w:t>an increase in the valuation allowance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certain business interest carryover deferred tax assets. </w:t>
      </w:r>
      <w:r>
        <w:rPr>
          <w:rFonts w:ascii="Times New Roman" w:cs="Times New Roman" w:eastAsia="Times New Roman" w:hAnsi="Times New Roman"/>
          <w:sz w:val="18"/>
          <w:szCs w:val="18"/>
          <w:color w:val="000000"/>
        </w:rPr>
        <w:t>The effective rate for December 31, 2022 differed from the statutory federal rate of 21% primarily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due to: 1) an increase in the valuation allowance against certain business interest carryover deferred tax assets; 2) non-deductible transaction costs incurred in the acquisition of Finxera; 3) the finalization of prior estimates on the sale of the assets of PRET's real estate services business impacting amounts attributable to noncontrolling partners; and 4) an increase in the tax basis of certain intangible assets resulting from a change in a subsidiary's entity status. The effective rate for December 31, 2021, differed from the statutory federal rate of 21% primarily due to earnings attributable to noncontrolling interests and valuation allowance changes against certain business interest carryover deferred tax assets.</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consolidated income tax (benefit) expense at the statutory U.S. federal tax rate to actual consolidated income tax (benefit)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expense (benefit)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benefits pursuant to ASU 2016-09</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items</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1"/>
        </w:trPr>
        <w:tc>
          <w:tcPr>
            <w:tcW w:w="5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consolidated deferred income taxes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partnership</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limitation carryforwards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15,142</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3"/>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37,108</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r>
      <w:tr>
        <w:trPr>
          <w:trHeight w:val="223"/>
        </w:trPr>
        <w:tc>
          <w:tcPr>
            <w:tcW w:w="7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21,646</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partnership</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223"/>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22,533</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16,447</w:t>
            </w: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provides a valuation allowance against deferred tax assets when it is more likely than not that some portion or all of the deferred tax assets will not be realized. The assessment considers all available positive and negative evidence and is measured quarterly. As of December 31, 2023 and 2022, the Company had a consolidated valuation allowance of approximately $19.4 million and $15.5 million, respectively, against certain deferred income tax assets related to business interest deduction carryovers and business combination costs that the Company believes are not more likely than not to be realized.</w:t>
      </w:r>
    </w:p>
    <w:p>
      <w:pPr>
        <w:spacing w:after="0" w:line="18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 reconciliation of the beginning and ending amount of unrecognized tax benefits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positions of prior years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related to lapse of the applicable statutes of limitations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balance of unrecognized tax benefits that, if recognized, affect our effective tax rate was $0.0 million and</w:t>
      </w:r>
    </w:p>
    <w:p>
      <w:pPr>
        <w:spacing w:after="0" w:line="27"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$0.1 million, respectively. The Company continually evaluates the uncertain tax benefit associated with its uncertain tax positions. It is reasonably possible that the liability for uncertain tax benefits could decrease during the next 12 months by up to $0.1 million due to the expiration of statutes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and income tax in multiple state jurisdictions. Tax periods for December 31, 2020 and all years thereafter remain open to examination by the federal and state taxing jurisdictions and tax periods for December 31, 2019 and all years thereafter remain open for certain state taxing jurisdictions to which the Company is subject.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2023 and December 31, 2022, the Company had state NOL carryforwards of approximately $17.9 million and $13.4 million, respectively, with expirations dates ranging from 2023 to 2043.</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has historically been impacted by the new interest deductibility rule under the Tax Act. This rule disallows interest expense to the extent it exceeds 30% of ATI, as defined. In March 2020, the CARES Act was enacted, which among other provisions, provides for the increase of the 163(j) ATI limitation from 30% to 50% for tax years 2019 and 2020. As of December 31, 2023, the Company had interest deduction limitation carryforwards of $78.1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Stockholders' Deficit</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Historically, the Company has neither declared nor paid dividends. The holders of the Company's Common Stock have no conversion, preemptive or other subscription rights and there is no sinking fund or redemption provisions applicable to the Common Stock.</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100,000,000 shares of preferred stock with such designations, voting and other rights and preferences as may be determined from time to time by the Board of Directors. As of December 31, 2023, the Company has not issued any shares of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PRTH's Board of Directors authorized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 activity under these programs was as follows: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3"/>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 which is in whole units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Number of shares purchased</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1,309,374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Investment</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r>
    </w:tbl>
    <w:p>
      <w:pPr>
        <w:spacing w:after="0" w:line="76" w:lineRule="exact"/>
        <w:rPr>
          <w:sz w:val="20"/>
          <w:szCs w:val="20"/>
          <w:color w:val="auto"/>
        </w:rPr>
      </w:pPr>
    </w:p>
    <w:p>
      <w:pPr>
        <w:ind w:left="660" w:right="120" w:hanging="328"/>
        <w:spacing w:after="0" w:line="229"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may differ from the repurchases of Common Stock amounts in the Consolidated Statements of Cash Flows due to shares withheld for taxes and unsettled share repurchases at the end of the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Warrants and Purchase Options</w:t>
      </w:r>
    </w:p>
    <w:p>
      <w:pPr>
        <w:spacing w:after="0" w:line="22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3,556,470 warrants from the original business combination in July 2018, were outstanding. These warrants allowed the holders to purchase shares of the Company's Common Stock at an exercise price of $11.50 per share. These warrants expired on August 24, 2023 and no warrants were exercised.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July 25, 2018, a purchase option was sold to an underwriter for consideration of $100. The purchase option, which survived the business combination, allowed the holders to purchase up to a total of 300,000 units (each consisting of a share of Common Stock and a public warrant) exercisable at $12.00 per unit. The purchase option expired on August 24,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2018 Plan was approved by the Company's Board of Directors and shareholders in July 2018. The 2018 Plan provided for the issuance of up to 6,685,696 of the Company's Common Stock, and these shares were registered on a Form S-8 during 2018. Under the 2018 Plan, the Company's compensation committee may grant awards of non-qualified stock options, incentive stock options, SARs, restricted stock awards, RSUs, other stock-based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 surrendered or tendered to pay the exercise price of an award or to satisfy withholding taxes owed, such shares will again be available for grants under the 2018 Plan.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 These additional shares were registered on Form S-8 in December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was as follows: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2"/>
        </w:trPr>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 compensation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Liability-classified compensation expense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under the 2018 Equity Incentive Plan</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units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an income tax expense of approximately $0.1 million for stock-based compensation expense. For the years ended December 31, 2022 and 2021, the Company recognized and income tax benefit of approximately $0.7 million and $0.4 million, respectively, for stock-based compensation expense. No stock-based compensation has been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activity in stock units for the 2018 Plan is as follows:</w:t>
            </w:r>
          </w:p>
        </w:tc>
        <w:tc>
          <w:tcPr>
            <w:tcW w:w="1520" w:type="dxa"/>
            <w:vAlign w:val="bottom"/>
          </w:tcPr>
          <w:p>
            <w:pPr>
              <w:spacing w:after="0"/>
              <w:rPr>
                <w:sz w:val="20"/>
                <w:szCs w:val="20"/>
                <w:color w:val="auto"/>
              </w:rPr>
            </w:pPr>
          </w:p>
        </w:tc>
      </w:tr>
      <w:tr>
        <w:trPr>
          <w:trHeight w:val="243"/>
        </w:trPr>
        <w:tc>
          <w:tcPr>
            <w:tcW w:w="97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January 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3,862,134</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50,589</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expired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53,870</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(711,987)</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30"/>
        </w:trPr>
        <w:tc>
          <w:tcPr>
            <w:tcW w:w="97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106,477</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3,363,040</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shares authorized for issuance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221,733</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(3,223,949)</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353,196</w:t>
            </w:r>
          </w:p>
        </w:tc>
      </w:tr>
      <w:tr>
        <w:trPr>
          <w:trHeight w:val="229"/>
        </w:trPr>
        <w:tc>
          <w:tcPr>
            <w:tcW w:w="97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291,266</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3,505,286</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129,380</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(641,578)</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263,600</w:t>
            </w:r>
          </w:p>
        </w:tc>
      </w:tr>
      <w:tr>
        <w:trPr>
          <w:trHeight w:val="229"/>
        </w:trPr>
        <w:tc>
          <w:tcPr>
            <w:tcW w:w="97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291,110</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available for issuance at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3,547,798</w:t>
            </w:r>
          </w:p>
        </w:tc>
      </w:tr>
      <w:tr>
        <w:trPr>
          <w:trHeight w:val="21"/>
        </w:trPr>
        <w:tc>
          <w:tcPr>
            <w:tcW w:w="9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140" w:hanging="328"/>
        <w:spacing w:after="0" w:line="229"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surrendered to satisfy withholding taxes owed are subsequently added back to the shares available for grant under the 2018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about the time-based equity-classified stock options granted under the plan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1,005,892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(129,380)</w:t>
            </w: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876,512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 years</w:t>
            </w:r>
          </w:p>
        </w:tc>
        <w:tc>
          <w:tcPr>
            <w:tcW w:w="68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872,762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 years</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right="180" w:hanging="328"/>
        <w:spacing w:after="0" w:line="229" w:lineRule="auto"/>
        <w:tabs>
          <w:tab w:leader="none" w:pos="64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Forfeited includes awards for which the participant has been terminated but has 90 days from the date of termination to exercise the award based on the agreement.</w:t>
      </w:r>
    </w:p>
    <w:p>
      <w:pPr>
        <w:spacing w:after="0" w:line="19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There were no options granted in 2023, 2022, or 2021. The intrinsic value of options exercised in 2021 was $0.2 million and there were no options exercised in 2023 or 2022. As of December 31, 2023, there was $4.2 thousand of unrecognized compensation costs related to stock options, which is expected to be recognized over a remaining weighted-average period of 0.6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Equity-classified Restricted Stock Units</w:t>
            </w: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the Company's equity-classified RSUs for the periods presented:</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8"/>
        </w:trPr>
        <w:tc>
          <w:tcPr>
            <w:tcW w:w="6620" w:type="dxa"/>
            <w:vAlign w:val="bottom"/>
          </w:tcPr>
          <w:p>
            <w:pPr>
              <w:spacing w:after="0"/>
              <w:rPr>
                <w:sz w:val="24"/>
                <w:szCs w:val="24"/>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Underlying Common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Weighted-average Grant Date</w:t>
            </w:r>
          </w:p>
        </w:tc>
      </w:tr>
      <w:tr>
        <w:trPr>
          <w:trHeight w:val="241"/>
        </w:trPr>
        <w:tc>
          <w:tcPr>
            <w:tcW w:w="662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Service-based vesting:</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January 1, 2021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1,969,096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vesting:</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6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6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(64,366)</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(116,958)</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289,995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left="660" w:right="20" w:hanging="328"/>
        <w:spacing w:after="0" w:line="229" w:lineRule="auto"/>
        <w:tabs>
          <w:tab w:leader="none" w:pos="64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143,605 shares with an estimated fair value of $0.5 million, 228,347 shares with an estimated fair value of $1.1 million and 55,689 shares with an estimated fair value of $0.5 million issued to non-employees in December 31, 2023, 2022 and 2021, respectively.</w:t>
      </w:r>
    </w:p>
    <w:p>
      <w:pPr>
        <w:ind w:left="660" w:right="200" w:hanging="328"/>
        <w:spacing w:after="0" w:line="229" w:lineRule="auto"/>
        <w:tabs>
          <w:tab w:leader="none" w:pos="64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only the portions of grants for which the performance goals have been determined and communicated to the grant recipient. Any grants for which the required performance goals have not been determined and communicated to the grant recipient are not considered to have been granted for accounting purposes.</w:t>
      </w:r>
    </w:p>
    <w:p>
      <w:pPr>
        <w:spacing w:after="0" w:line="225"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As of December 31, 2023, there was $9.6 million and $1.2 million of unrecognized compensation costs for equity-classified service-based RSUs and performance-based RSUs, respectively, which are expected to be recognized over a remaining weighted-average period of 2.0 years and 2.0 years, respectively. The total fair value of RSUs and PSUs that vested in 2023, 2022, and 2021 was $1.3 million, $0.9 million and $3.2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16, 2021, the 2021 Stock Purchase Plan was authorized by the Company's Board of Directors. The maximum number of shares available for purchase under the 2021 Stock Purchase Plan is 200,000 shares. The shares issued under the 2021 Stock Purchase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during the first quarter of 2022. The 2021 Stock Purchase Plan provides eligible employees the opportunity to purchase shares of the Company's Common Stock on a quarterly basis through payroll deductions at a price equal to 95% of the lesser of the fair value on the first and last trading day of each quarter.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The Company's contributions to the plan were $2.0 million, $1.7 million and $1.2 million for the years ended December 31, 2023, 2022 and 2021, respectively.</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offers a comprehensive medical benefit plan to eligible employees. All obligations under the plan are fully insured through third-party insurance companies. Employees participating in the medical plan pay a portion of the costs for the insurance benefits.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Annual Commitments with Third-party Processors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December 31, 2023, the Company is committed to pay minimum processing fees under these agreements of approximately $21.6 million in 2024 and $21.6 million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Commitment with Vendor</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January 1, 2022, the Company entered into a three-year business cooperation agreement with a vendor to resell its services. Under the agreement, the Company purchased vendor services worth $1.5 million for the year ended December 31, 2023, and is committed to purchase vendor services worth $2.3 million in 2024.</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committed to capital contributions to fund the operations of certain subsidiaries totaling $26.0 million and $22.0 million as of December 31, 2023 and 2022, respectively. The Company is obligated to make the contributions within 10 business days of receiving notice for such contribution from the subsidiary. As of December 31, 2023 and 2022, the Company contributed $11.8 million and $6.9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4. Settlement Assets and Customer/Subscriber Account Balances and Related Obligations</w:t>
      </w:r>
      <w:r>
        <w:rPr>
          <w:rFonts w:ascii="Times New Roman" w:cs="Times New Roman" w:eastAsia="Times New Roman" w:hAnsi="Times New Roman"/>
          <w:sz w:val="18"/>
          <w:szCs w:val="18"/>
          <w:color w:val="auto"/>
        </w:rPr>
        <w:t>, for information about merchant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 of the Company's contingent consideration liabilities related to completed acquisitions: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7"/>
                <w:szCs w:val="17"/>
                <w:color w:val="auto"/>
              </w:rPr>
            </w:pP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0" w:type="dxa"/>
            <w:vAlign w:val="bottom"/>
          </w:tcPr>
          <w:p>
            <w:pPr>
              <w:spacing w:after="0"/>
              <w:rPr>
                <w:sz w:val="1"/>
                <w:szCs w:val="1"/>
                <w:color w:val="auto"/>
              </w:rPr>
            </w:pPr>
          </w:p>
        </w:tc>
      </w:tr>
      <w:tr>
        <w:trPr>
          <w:trHeight w:val="243"/>
        </w:trPr>
        <w:tc>
          <w:tcPr>
            <w:tcW w:w="88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29"/>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 due to changes in estimates of future payments</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9"/>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30"/>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 of contingent consideration (related to asset acquisition)</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 of contingent consideration due to resolution of contingency</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30"/>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 of contingent consideration (related to business combination)</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29"/>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due to changes in estimates of future payments</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0" w:type="dxa"/>
            <w:vAlign w:val="bottom"/>
          </w:tcPr>
          <w:p>
            <w:pPr>
              <w:spacing w:after="0"/>
              <w:rPr>
                <w:sz w:val="1"/>
                <w:szCs w:val="1"/>
                <w:color w:val="auto"/>
              </w:rPr>
            </w:pPr>
          </w:p>
        </w:tc>
      </w:tr>
      <w:tr>
        <w:trPr>
          <w:trHeight w:val="229"/>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 for receivable due to residual shortfall</w:t>
            </w: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13,438</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87"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7"/>
          <w:szCs w:val="17"/>
          <w:color w:val="auto"/>
        </w:rPr>
        <w:t>The Company is involved in a case that was filed on October 11, 2023 and is currently pending in the United States District Court for the Northern District of California (the “Complaint”). The Complaint is a putative class action against The Credit Wholesale Company, Inc. (“Wholesale”), Priority Technology</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Holdings, Inc., Priority Payment Systems (“PPS”), LLC and Wells Fargo Bank, N.A. (“Wells Fargo”). The Complaint alleges that Wholesale is an agent of Priority, PPS and Wells Fargo and that it made non-consensual recordation of telephonic communications with California businesses in violation of</w:t>
      </w:r>
    </w:p>
    <w:p>
      <w:pPr>
        <w:ind w:right="260"/>
        <w:spacing w:after="0" w:line="267" w:lineRule="auto"/>
        <w:rPr>
          <w:sz w:val="20"/>
          <w:szCs w:val="20"/>
          <w:color w:val="auto"/>
        </w:rPr>
      </w:pPr>
      <w:r>
        <w:rPr>
          <w:rFonts w:ascii="Times New Roman" w:cs="Times New Roman" w:eastAsia="Times New Roman" w:hAnsi="Times New Roman"/>
          <w:sz w:val="18"/>
          <w:szCs w:val="18"/>
          <w:color w:val="auto"/>
        </w:rPr>
        <w:t xml:space="preserve">California Invasion of Privacy Act (the “Act”).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Complaint seeks to certify a class of affected businesses and an award of $5,000 per violation of the Act. As of March 12, 2024, the financial impact, if any, of the outcome of this legal proceeding is neither probable nor estimable.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bankcard transactions. Because the Company is not a member bank, to process these bankcard transactions, the Company maintains sponsorship agreements with member banks which require, among other things, that the Company abide by the by-laws and regulations of the card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contingent consideration derived from business combinations are classified within Level 3 of the fair value hierarchy due to the uncertainty of the fair value measurement created by the absence of quoted market prices, the inherent lack of liquidity and unobservable inputs used to measure fair value which require judgement. The Company uses valuation techniques including discounted cash flow analysis based on cash flow projections and Monte Carlo simulations to estimate fair value based on projection period and assumed growth rates. A change in inputs in the valuation techniques used might result in a significantly higher or lower fair value measurement than what is reported. The current portion of contingent consideration is included in accounts payable and accrued expenses on the Company's Consolidated Balance Sheets and the noncurrent portion of contingent consideration is included in other noncurrent liabilities on the Company's Consolidated Balance Sheets.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Contingent consideration liabilities related to certain of the Company's acquisitions are uncertain due to the utilization of unobservable inputs and management's judgement in determining the likelihood of achieving the earn-out criteria or the years ended December 31, 2023 and 2022. These liabilities measured at fair value on a recurring basis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Fair Value Hierarchy</w:t>
            </w: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 portion</w:t>
            </w:r>
          </w:p>
        </w:tc>
        <w:tc>
          <w:tcPr>
            <w:tcW w:w="24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contingent consideration</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there were no transfers into, out of, or between levels of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was approximately $5.2 million and $4.7 million at December 31, 2023 and December 31, 2022, respectively. On the fair value hierarchy, Level 3 inputs are used to estimate the fair value of these notes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Outstanding debt obligations (see </w:t>
      </w:r>
      <w:r>
        <w:rPr>
          <w:rFonts w:ascii="Times New Roman" w:cs="Times New Roman" w:eastAsia="Times New Roman" w:hAnsi="Times New Roman"/>
          <w:sz w:val="18"/>
          <w:szCs w:val="18"/>
          <w:u w:val="single" w:color="auto"/>
          <w:color w:val="0000FF"/>
        </w:rPr>
        <w:t>Note 10. Debt Obligations</w:t>
      </w:r>
      <w:r>
        <w:rPr>
          <w:rFonts w:ascii="Times New Roman" w:cs="Times New Roman" w:eastAsia="Times New Roman" w:hAnsi="Times New Roman"/>
          <w:sz w:val="18"/>
          <w:szCs w:val="18"/>
          <w:color w:val="auto"/>
        </w:rPr>
        <w:t>) are reflected in the Company's Consolidated Balance Sheets at carrying value since the Company did not elect to remeasure debt obligations to fair value at the end of each reporting period.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of the term loan facility was estimated to be approximately $651.9 million and $606.1 million at December 31, 2023 and 2022, respectively, and was estimated using binding and non-binding quoted market prices in an active secondary market, which considers the credit risk and market related conditions, and is within Level 2 of the fair value hierarchy.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three reportable segments included SMB Payments, B2B Payments and Enterprise Payments. The Company does not have dedicated assets assigned to any particular reportable segment and such information is not available and continues to be aggregated.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about our three reportable segments:</w:t>
      </w:r>
    </w:p>
    <w:p>
      <w:pPr>
        <w:spacing w:after="0" w:line="223" w:lineRule="exact"/>
        <w:rPr>
          <w:sz w:val="20"/>
          <w:szCs w:val="20"/>
          <w:color w:val="auto"/>
        </w:rPr>
      </w:pPr>
    </w:p>
    <w:p>
      <w:pPr>
        <w:ind w:left="660" w:right="300" w:hanging="328"/>
        <w:spacing w:after="0" w:line="284"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SMB Payments</w:t>
      </w:r>
      <w:r>
        <w:rPr>
          <w:rFonts w:ascii="Times New Roman" w:cs="Times New Roman" w:eastAsia="Times New Roman" w:hAnsi="Times New Roman"/>
          <w:sz w:val="18"/>
          <w:szCs w:val="18"/>
          <w:color w:val="auto"/>
        </w:rPr>
        <w:t>: Provides full-service acquiring and payment-enabled solutions for B2C transactions, leveraging Priority's proprietary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distributed through ISO, direct sales and vertically focused ISV channels in addition.</w:t>
      </w:r>
    </w:p>
    <w:p>
      <w:pPr>
        <w:spacing w:after="0" w:line="158" w:lineRule="exact"/>
        <w:rPr>
          <w:rFonts w:ascii="Times New Roman" w:cs="Times New Roman" w:eastAsia="Times New Roman" w:hAnsi="Times New Roman"/>
          <w:sz w:val="18"/>
          <w:szCs w:val="18"/>
          <w:i w:val="1"/>
          <w:iCs w:val="1"/>
          <w:color w:val="auto"/>
        </w:rPr>
      </w:pPr>
    </w:p>
    <w:p>
      <w:pPr>
        <w:ind w:left="660" w:right="140" w:hanging="328"/>
        <w:spacing w:after="0" w:line="284"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Payments</w:t>
      </w:r>
      <w:r>
        <w:rPr>
          <w:rFonts w:ascii="Times New Roman" w:cs="Times New Roman" w:eastAsia="Times New Roman" w:hAnsi="Times New Roman"/>
          <w:sz w:val="18"/>
          <w:szCs w:val="18"/>
          <w:color w:val="auto"/>
        </w:rPr>
        <w:t>: Provides market-leading AP automation solutions to corporations, software partners and industry leading FIs (including Citibank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Mastercard) in addition to working improving cash flow by providing instant access to working capital.</w:t>
      </w:r>
    </w:p>
    <w:p>
      <w:pPr>
        <w:spacing w:after="0" w:line="158" w:lineRule="exact"/>
        <w:rPr>
          <w:rFonts w:ascii="Times New Roman" w:cs="Times New Roman" w:eastAsia="Times New Roman" w:hAnsi="Times New Roman"/>
          <w:sz w:val="18"/>
          <w:szCs w:val="18"/>
          <w:color w:val="auto"/>
        </w:rPr>
      </w:pPr>
    </w:p>
    <w:p>
      <w:pPr>
        <w:ind w:left="660" w:right="360" w:hanging="328"/>
        <w:spacing w:after="0" w:line="284"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Payments</w:t>
      </w:r>
      <w:r>
        <w:rPr>
          <w:rFonts w:ascii="Times New Roman" w:cs="Times New Roman" w:eastAsia="Times New Roman" w:hAnsi="Times New Roman"/>
          <w:sz w:val="18"/>
          <w:szCs w:val="18"/>
          <w:color w:val="auto"/>
        </w:rPr>
        <w:t>: Provides embedded finance and treasury solutions to enterprise customers to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partners' strategies to monetize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on reportable segments and reconciliations to consolidated revenues, consolidated depreciation and amortization, and consolidated operating income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475,630</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w:t>
            </w:r>
          </w:p>
        </w:tc>
      </w:tr>
      <w:tr>
        <w:trPr>
          <w:trHeight w:val="23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22,133</w:t>
            </w:r>
          </w:p>
        </w:tc>
      </w:tr>
      <w:tr>
        <w:trPr>
          <w:trHeight w:val="248"/>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663,641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514,901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68,395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70,681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49,697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7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52,884</w:t>
            </w: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(26,689)</w:t>
            </w:r>
          </w:p>
        </w:tc>
      </w:tr>
      <w:tr>
        <w:trPr>
          <w:trHeight w:val="248"/>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reconciliation of total operating income of reportable segments to the Company's net (loss) income is provided in the following table:</w:t>
            </w:r>
          </w:p>
        </w:tc>
        <w:tc>
          <w:tcPr>
            <w:tcW w:w="1260" w:type="dxa"/>
            <w:vAlign w:val="bottom"/>
          </w:tcPr>
          <w:p>
            <w:pPr>
              <w:spacing w:after="0"/>
              <w:rPr>
                <w:sz w:val="20"/>
                <w:szCs w:val="20"/>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60" w:type="dxa"/>
            <w:vAlign w:val="bottom"/>
            <w:tcBorders>
              <w:bottom w:val="single" w:sz="8" w:color="auto"/>
            </w:tcBorders>
          </w:tcPr>
          <w:p>
            <w:pPr>
              <w:spacing w:after="0"/>
              <w:rPr>
                <w:sz w:val="22"/>
                <w:szCs w:val="22"/>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of reportable segments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(26,689)</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(36,485)</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costs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1"/>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Earnings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earnings (loss) per common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NCI preferred unit redemptions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0" w:type="dxa"/>
            <w:vAlign w:val="bottom"/>
          </w:tcPr>
          <w:p>
            <w:pPr>
              <w:spacing w:after="0"/>
              <w:rPr>
                <w:sz w:val="1"/>
                <w:szCs w:val="1"/>
                <w:color w:val="auto"/>
              </w:rPr>
            </w:pP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(24,641)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right="920" w:hanging="328"/>
        <w:spacing w:after="0" w:line="204" w:lineRule="auto"/>
        <w:tabs>
          <w:tab w:leader="none" w:pos="656" w:val="left"/>
        </w:tabs>
        <w:numPr>
          <w:ilvl w:val="0"/>
          <w:numId w:val="48"/>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 xml:space="preserve">The weighted-average common shares outstanding includes 1,803,841 warrants issued in the second quarter of 2021 (refer to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Redeemable Senior Preferred Stock and Warrants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color w:val="auto"/>
        </w:rPr>
        <w:t>Potentially anti-dilutive securities that were excluded from (loss) earnings per common share that could potentially be dilutive in future periods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72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Common Stock Equivalents at December 31,</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warrants on common stock</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options and warrants issued to adviser</w:t>
            </w:r>
            <w:r>
              <w:rPr>
                <w:rFonts w:ascii="Times New Roman" w:cs="Times New Roman" w:eastAsia="Times New Roman" w:hAnsi="Times New Roman"/>
                <w:sz w:val="23"/>
                <w:szCs w:val="23"/>
                <w:color w:val="auto"/>
                <w:vertAlign w:val="superscript"/>
              </w:rPr>
              <w:t>(2)</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awards</w:t>
            </w:r>
            <w:r>
              <w:rPr>
                <w:rFonts w:ascii="Times New Roman" w:cs="Times New Roman" w:eastAsia="Times New Roman" w:hAnsi="Times New Roman"/>
                <w:sz w:val="23"/>
                <w:szCs w:val="23"/>
                <w:color w:val="auto"/>
                <w:vertAlign w:val="superscript"/>
              </w:rPr>
              <w:t>(3)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restricted stock units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stock option awards</w:t>
            </w:r>
            <w:r>
              <w:rPr>
                <w:rFonts w:ascii="Times New Roman" w:cs="Times New Roman" w:eastAsia="Times New Roman" w:hAnsi="Times New Roman"/>
                <w:sz w:val="23"/>
                <w:szCs w:val="23"/>
                <w:color w:val="auto"/>
                <w:vertAlign w:val="superscript"/>
              </w:rPr>
              <w:t>(3)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6,040</w:t>
            </w:r>
          </w:p>
        </w:tc>
      </w:tr>
      <w:tr>
        <w:trPr>
          <w:trHeight w:val="21"/>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1"/>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warrants were exercisable at $11.50 per share and expired on August 24, 2023. Refer to </w:t>
      </w:r>
      <w:r>
        <w:rPr>
          <w:rFonts w:ascii="Times New Roman" w:cs="Times New Roman" w:eastAsia="Times New Roman" w:hAnsi="Times New Roman"/>
          <w:sz w:val="18"/>
          <w:szCs w:val="18"/>
          <w:u w:val="single" w:color="auto"/>
          <w:color w:val="0000FF"/>
        </w:rPr>
        <w:t>Note 13. Stockholders' Deficit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1"/>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warrants and options were exercisable at $12.00 per share and expired on August 24, 2023. Refer </w:t>
      </w:r>
      <w:r>
        <w:rPr>
          <w:rFonts w:ascii="Times New Roman" w:cs="Times New Roman" w:eastAsia="Times New Roman" w:hAnsi="Times New Roman"/>
          <w:sz w:val="18"/>
          <w:szCs w:val="18"/>
          <w:u w:val="single" w:color="auto"/>
          <w:color w:val="0000FF"/>
        </w:rPr>
        <w:t>Note 13. Stockholders' Deficit</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1"/>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Granted under the 2018 Plan.</w:t>
      </w:r>
    </w:p>
    <w:p>
      <w:pPr>
        <w:spacing w:after="0" w:line="200" w:lineRule="exact"/>
        <w:rPr>
          <w:rFonts w:ascii="Times New Roman" w:cs="Times New Roman" w:eastAsia="Times New Roman" w:hAnsi="Times New Roman"/>
          <w:sz w:val="23"/>
          <w:szCs w:val="23"/>
          <w:color w:val="auto"/>
          <w:vertAlign w:val="superscript"/>
        </w:rPr>
      </w:pPr>
    </w:p>
    <w:p>
      <w:pPr>
        <w:spacing w:after="0" w:line="237" w:lineRule="exact"/>
        <w:rPr>
          <w:rFonts w:ascii="Times New Roman" w:cs="Times New Roman" w:eastAsia="Times New Roman" w:hAnsi="Times New Roman"/>
          <w:sz w:val="23"/>
          <w:szCs w:val="23"/>
          <w:color w:val="auto"/>
          <w:vertAlign w:val="superscript"/>
        </w:rPr>
      </w:pPr>
    </w:p>
    <w:p>
      <w:pPr>
        <w:ind w:left="420" w:hanging="412"/>
        <w:spacing w:after="0"/>
        <w:tabs>
          <w:tab w:leader="none" w:pos="4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February 2019, PHOT, a subsidiary of the Company, received contributions of certain assets from its Chairman and CEO and issued redeemable preferred units as consideration. Part of these preferred units were later assigned to other related parties. In May 2021, the Company entered into an exchange agreement wherein these preferred units were exchanged for 1,428,358 equity shares and $814,219 in cash. On October 31, 2023, a lawsuit was filed alleging that the Board breached its fiduciary duties by approving the transaction. The Company denied any wrongdoing. The lawsuit was settled on January 30, 2024, wherein the Company agreed to unwind the exchange transaction and pay $0.4 million to settle all claims. The unwinding of this transaction does not meet the recognition criteria as of December 31, 2023, and therefore considered as non-recognized subsequent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3"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the CEO and CFO, has evaluated the effectiveness of the Company's disclosure controls and procedures as of December 31, 2023. Based on that evaluation, the Company's CEO and CFO concluded that the Company's disclosure controls and procedures were effective as of December 31, 2023.</w:t>
      </w:r>
    </w:p>
    <w:p>
      <w:pPr>
        <w:spacing w:after="0" w:line="176" w:lineRule="exact"/>
        <w:rPr>
          <w:sz w:val="20"/>
          <w:szCs w:val="20"/>
          <w:color w:val="auto"/>
        </w:rPr>
      </w:pPr>
    </w:p>
    <w:p>
      <w:pPr>
        <w:ind w:left="700" w:hanging="692"/>
        <w:spacing w:after="0"/>
        <w:tabs>
          <w:tab w:leader="none" w:pos="70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Report of Management on Internal Control over Financial Reporting</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80" w:lineRule="exact"/>
        <w:rPr>
          <w:sz w:val="20"/>
          <w:szCs w:val="20"/>
          <w:color w:val="auto"/>
        </w:rPr>
      </w:pPr>
    </w:p>
    <w:p>
      <w:pPr>
        <w:ind w:left="220" w:hanging="212"/>
        <w:spacing w:after="0"/>
        <w:tabs>
          <w:tab w:leader="none" w:pos="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maintenance of records that, in reasonable detail, accurately and fairly reflect the transactions and disposition of the Company's assets;</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2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made only in accordance with authorizations of the Company's management and directors; and</w:t>
      </w:r>
    </w:p>
    <w:p>
      <w:pPr>
        <w:spacing w:after="0" w:line="161" w:lineRule="exact"/>
        <w:rPr>
          <w:rFonts w:ascii="Times New Roman" w:cs="Times New Roman" w:eastAsia="Times New Roman" w:hAnsi="Times New Roman"/>
          <w:sz w:val="18"/>
          <w:szCs w:val="18"/>
          <w:color w:val="auto"/>
        </w:rPr>
      </w:pPr>
    </w:p>
    <w:p>
      <w:pPr>
        <w:ind w:right="360" w:firstLine="8"/>
        <w:spacing w:after="0" w:line="282" w:lineRule="auto"/>
        <w:tabs>
          <w:tab w:leader="none" w:pos="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2023. In making this assessment, management used the criteria set forth by the Committee of Sponsoring Organizations of the Treadway Commission (COSO) the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this assessment, management determined that the Company maintained effective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of December 31, 2023.</w:t>
      </w:r>
    </w:p>
    <w:p>
      <w:pPr>
        <w:spacing w:after="0" w:line="180" w:lineRule="exact"/>
        <w:rPr>
          <w:sz w:val="20"/>
          <w:szCs w:val="20"/>
          <w:color w:val="auto"/>
        </w:rPr>
      </w:pPr>
    </w:p>
    <w:p>
      <w:pPr>
        <w:ind w:right="5500" w:firstLine="8"/>
        <w:spacing w:after="0" w:line="532" w:lineRule="auto"/>
        <w:tabs>
          <w:tab w:leader="none" w:pos="6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Attestation Report of Independent Registered Public Accounting Firm Not applicable due to the Company's status as a non-accelerated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2022, the Company implemented new general ledger, accounts payable, consolidation and financial reporting systems. The implementation involved changes to certain processes and related internal controls over financial reporting. The Company has reviewed the system and controls affected and has made the appropriate changes as necessary.</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year ended December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Director and Officer Trading Arrangements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June 16, 2023, Sean Kiewiet, an officer of the Company as defined in Section 16 of the Exchange Act, adopted a Rule 10b5-1 trading arrangement as defined in Item 408(a) of Regulation 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Officer or Director Name and</w:t>
            </w: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Plan Type</w:t>
            </w:r>
          </w:p>
        </w:tc>
        <w:tc>
          <w:tcPr>
            <w:tcW w:w="20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to</w:t>
            </w:r>
          </w:p>
        </w:tc>
        <w:tc>
          <w:tcPr>
            <w:tcW w:w="20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2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be sold</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Sean Kiewiet,</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Strategy Officer</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Adopted</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16, 2023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80" w:type="dxa"/>
            <w:vAlign w:val="bottom"/>
            <w:shd w:val="clear" w:color="auto" w:fill="CCEEFF"/>
          </w:tcPr>
          <w:p>
            <w:pPr>
              <w:spacing w:after="0"/>
              <w:rPr>
                <w:sz w:val="21"/>
                <w:szCs w:val="21"/>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called for by Item 10 is incorporated herein by reference to the definitive proxy statement relating to the Company's 2024 Annual Meeting of Stockholders. We intend to file such definitive proxy statement with the SEC pursuant to Regulation 14A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11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12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13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right="40" w:firstLine="8"/>
        <w:spacing w:after="0" w:line="273" w:lineRule="auto"/>
        <w:tabs>
          <w:tab w:leader="none" w:pos="2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Our consolidated financial statements listed below are set forth in "</w:t>
      </w:r>
      <w:r>
        <w:rPr>
          <w:rFonts w:ascii="Times New Roman" w:cs="Times New Roman" w:eastAsia="Times New Roman" w:hAnsi="Times New Roman"/>
          <w:sz w:val="18"/>
          <w:szCs w:val="18"/>
          <w:u w:val="single" w:color="auto"/>
          <w:color w:val="0000FF"/>
        </w:rPr>
        <w:t>Item 8 - Financial Statements and Supplementary Data</w:t>
      </w:r>
      <w:r>
        <w:rPr>
          <w:rFonts w:ascii="Times New Roman" w:cs="Times New Roman" w:eastAsia="Times New Roman" w:hAnsi="Times New Roman"/>
          <w:sz w:val="18"/>
          <w:szCs w:val="18"/>
          <w:color w:val="auto"/>
        </w:rPr>
        <w:t>" of this Annual Report on Form 10-K: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353"/>
        </w:trPr>
        <w:tc>
          <w:tcPr>
            <w:tcW w:w="20" w:type="dxa"/>
            <w:vAlign w:val="bottom"/>
          </w:tcPr>
          <w:p>
            <w:pPr>
              <w:spacing w:after="0"/>
              <w:rPr>
                <w:sz w:val="24"/>
                <w:szCs w:val="24"/>
                <w:color w:val="auto"/>
              </w:rPr>
            </w:pP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w:t>
            </w:r>
            <w:r>
              <w:rPr>
                <w:rFonts w:ascii="Times New Roman" w:cs="Times New Roman" w:eastAsia="Times New Roman" w:hAnsi="Times New Roman"/>
                <w:sz w:val="18"/>
                <w:szCs w:val="18"/>
                <w:color w:val="000000"/>
              </w:rPr>
              <w:t>EY</w:t>
            </w:r>
            <w:r>
              <w:rPr>
                <w:rFonts w:ascii="Times New Roman" w:cs="Times New Roman" w:eastAsia="Times New Roman" w:hAnsi="Times New Roman"/>
                <w:sz w:val="18"/>
                <w:szCs w:val="18"/>
                <w:color w:val="0000FF"/>
              </w:rPr>
              <w:t xml:space="preserve"> PCAOB ID: </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color w:val="0000FF"/>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29"/>
        </w:trPr>
        <w:tc>
          <w:tcPr>
            <w:tcW w:w="20" w:type="dxa"/>
            <w:vAlign w:val="bottom"/>
          </w:tcPr>
          <w:p>
            <w:pPr>
              <w:spacing w:after="0"/>
              <w:rPr>
                <w:sz w:val="19"/>
                <w:szCs w:val="19"/>
                <w:color w:val="auto"/>
              </w:rPr>
            </w:pP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December 31, 2022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29"/>
        </w:trPr>
        <w:tc>
          <w:tcPr>
            <w:tcW w:w="20" w:type="dxa"/>
            <w:vAlign w:val="bottom"/>
          </w:tcPr>
          <w:p>
            <w:pPr>
              <w:spacing w:after="0"/>
              <w:rPr>
                <w:sz w:val="19"/>
                <w:szCs w:val="19"/>
                <w:color w:val="auto"/>
              </w:rPr>
            </w:pP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2022 and 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180"/>
        </w:trPr>
        <w:tc>
          <w:tcPr>
            <w:tcW w:w="20" w:type="dxa"/>
            <w:vAlign w:val="bottom"/>
          </w:tcPr>
          <w:p>
            <w:pPr>
              <w:spacing w:after="0"/>
              <w:rPr>
                <w:sz w:val="15"/>
                <w:szCs w:val="15"/>
                <w:color w:val="auto"/>
              </w:rPr>
            </w:pPr>
          </w:p>
        </w:tc>
        <w:tc>
          <w:tcPr>
            <w:tcW w:w="105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0000FF"/>
              </w:rPr>
              <w:t>Consolidated Statements of Changes in Stockholders' Deficit and Non-Controlling Interests for the Years Ended December 31, 2023, 2022 and</w:t>
            </w:r>
          </w:p>
        </w:tc>
        <w:tc>
          <w:tcPr>
            <w:tcW w:w="720" w:type="dxa"/>
            <w:vAlign w:val="bottom"/>
          </w:tcPr>
          <w:p>
            <w:pPr>
              <w:spacing w:after="0"/>
              <w:rPr>
                <w:sz w:val="15"/>
                <w:szCs w:val="15"/>
                <w:color w:val="auto"/>
              </w:rPr>
            </w:pPr>
          </w:p>
        </w:tc>
      </w:tr>
      <w:tr>
        <w:trPr>
          <w:trHeight w:val="238"/>
        </w:trPr>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2021</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r>
      <w:tr>
        <w:trPr>
          <w:trHeight w:val="230"/>
        </w:trPr>
        <w:tc>
          <w:tcPr>
            <w:tcW w:w="20" w:type="dxa"/>
            <w:vAlign w:val="bottom"/>
          </w:tcPr>
          <w:p>
            <w:pPr>
              <w:spacing w:after="0"/>
              <w:rPr>
                <w:sz w:val="19"/>
                <w:szCs w:val="19"/>
                <w:color w:val="auto"/>
              </w:rPr>
            </w:pP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r>
      <w:tr>
        <w:trPr>
          <w:trHeight w:val="234"/>
        </w:trPr>
        <w:tc>
          <w:tcPr>
            <w:tcW w:w="20" w:type="dxa"/>
            <w:vAlign w:val="bottom"/>
          </w:tcPr>
          <w:p>
            <w:pPr>
              <w:spacing w:after="0"/>
              <w:rPr>
                <w:sz w:val="20"/>
                <w:szCs w:val="20"/>
                <w:color w:val="auto"/>
              </w:rPr>
            </w:pPr>
          </w:p>
        </w:tc>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r>
        <w:trPr>
          <w:trHeight w:val="743"/>
        </w:trPr>
        <w:tc>
          <w:tcPr>
            <w:tcW w:w="10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7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9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 Exhibits</w:t>
            </w:r>
          </w:p>
        </w:tc>
        <w:tc>
          <w:tcPr>
            <w:tcW w:w="9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Pr>
          <w:p>
            <w:pPr>
              <w:spacing w:after="0"/>
              <w:rPr>
                <w:sz w:val="24"/>
                <w:szCs w:val="24"/>
                <w:color w:val="auto"/>
              </w:rPr>
            </w:pPr>
          </w:p>
        </w:tc>
      </w:tr>
      <w:tr>
        <w:trPr>
          <w:trHeight w:val="169"/>
        </w:trPr>
        <w:tc>
          <w:tcPr>
            <w:tcW w:w="1100" w:type="dxa"/>
            <w:vAlign w:val="bottom"/>
            <w:tcBorders>
              <w:top w:val="single" w:sz="8" w:color="auto"/>
            </w:tcBorders>
            <w:gridSpan w:val="3"/>
            <w:shd w:val="clear" w:color="auto" w:fill="CCEEFF"/>
          </w:tcPr>
          <w:p>
            <w:pPr>
              <w:ind w:left="20"/>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2.1</w:t>
              </w:r>
            </w:hyperlink>
          </w:p>
        </w:tc>
        <w:tc>
          <w:tcPr>
            <w:tcW w:w="10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auto"/>
            </w:tcBorders>
            <w:gridSpan w:val="2"/>
            <w:shd w:val="clear" w:color="auto" w:fill="CCEEFF"/>
          </w:tcPr>
          <w:p>
            <w:pPr>
              <w:ind w:left="20"/>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Second Amended and Restated Contribution Agreement, dated as of April 17, 2018, by and among Priority Investment Holdings, Priority</w:t>
              </w:r>
            </w:hyperlink>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Incentive Equity Holdings, LLC and M I Acquisitions, Inc. (incorporated by reference to Annex A to the Company's Proxy Statement on</w:t>
              </w:r>
            </w:hyperlink>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Schedule 14(a), filed July 5, 2018).</w:t>
              </w:r>
            </w:hyperlink>
          </w:p>
        </w:tc>
        <w:tc>
          <w:tcPr>
            <w:tcW w:w="72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1180" w:type="dxa"/>
            <w:vAlign w:val="bottom"/>
            <w:gridSpan w:val="3"/>
          </w:tcPr>
          <w:p>
            <w:pPr>
              <w:spacing w:after="0" w:line="175"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 xml:space="preserve">2.2 </w:t>
              </w:r>
            </w:hyperlink>
            <w:r>
              <w:rPr>
                <w:rFonts w:ascii="Arial" w:cs="Arial" w:eastAsia="Arial" w:hAnsi="Arial"/>
                <w:sz w:val="18"/>
                <w:szCs w:val="18"/>
                <w:color w:val="000000"/>
              </w:rPr>
              <w:t>†</w:t>
            </w:r>
          </w:p>
        </w:tc>
        <w:tc>
          <w:tcPr>
            <w:tcW w:w="1004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Agreement and Plan of Merger, dated as of March 5, 2021, by and among the Company, Finxera, Merger Sub, and the Equityholder</w:t>
              </w:r>
            </w:hyperlink>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Representative.</w:t>
              </w:r>
            </w:hyperlink>
          </w:p>
        </w:tc>
        <w:tc>
          <w:tcPr>
            <w:tcW w:w="720" w:type="dxa"/>
            <w:vAlign w:val="bottom"/>
          </w:tcPr>
          <w:p>
            <w:pPr>
              <w:spacing w:after="0"/>
              <w:rPr>
                <w:sz w:val="20"/>
                <w:szCs w:val="20"/>
                <w:color w:val="auto"/>
              </w:rPr>
            </w:pPr>
          </w:p>
        </w:tc>
      </w:tr>
      <w:tr>
        <w:trPr>
          <w:trHeight w:val="234"/>
        </w:trPr>
        <w:tc>
          <w:tcPr>
            <w:tcW w:w="110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2.3</w:t>
              </w:r>
            </w:hyperlink>
          </w:p>
        </w:tc>
        <w:tc>
          <w:tcPr>
            <w:tcW w:w="10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Certificate of Amendment to the Certificate of Incorporation of Priority Technology Holdings dated April 16, 2021, filed April 29, 2021</w:t>
              </w:r>
            </w:hyperlink>
          </w:p>
        </w:tc>
      </w:tr>
      <w:tr>
        <w:trPr>
          <w:trHeight w:val="175"/>
        </w:trPr>
        <w:tc>
          <w:tcPr>
            <w:tcW w:w="1100" w:type="dxa"/>
            <w:vAlign w:val="bottom"/>
            <w:gridSpan w:val="3"/>
          </w:tcPr>
          <w:p>
            <w:pPr>
              <w:ind w:left="20"/>
              <w:spacing w:after="0" w:line="17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2.4</w:t>
              </w:r>
            </w:hyperlink>
          </w:p>
        </w:tc>
        <w:tc>
          <w:tcPr>
            <w:tcW w:w="100" w:type="dxa"/>
            <w:vAlign w:val="bottom"/>
          </w:tcPr>
          <w:p>
            <w:pPr>
              <w:spacing w:after="0"/>
              <w:rPr>
                <w:sz w:val="15"/>
                <w:szCs w:val="15"/>
                <w:color w:val="auto"/>
              </w:rPr>
            </w:pPr>
          </w:p>
        </w:tc>
        <w:tc>
          <w:tcPr>
            <w:tcW w:w="1004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Agreement and Plan of Merger by and among the Company, Finxera Holdings, Inc., Prime Warrior Acquisition Corp., and Stone Point</w:t>
              </w:r>
            </w:hyperlink>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Capital LLC.</w:t>
              </w:r>
            </w:hyperlink>
          </w:p>
        </w:tc>
        <w:tc>
          <w:tcPr>
            <w:tcW w:w="720" w:type="dxa"/>
            <w:vAlign w:val="bottom"/>
          </w:tcPr>
          <w:p>
            <w:pPr>
              <w:spacing w:after="0"/>
              <w:rPr>
                <w:sz w:val="20"/>
                <w:szCs w:val="20"/>
                <w:color w:val="auto"/>
              </w:rPr>
            </w:pPr>
          </w:p>
        </w:tc>
      </w:tr>
      <w:tr>
        <w:trPr>
          <w:trHeight w:val="180"/>
        </w:trPr>
        <w:tc>
          <w:tcPr>
            <w:tcW w:w="1100" w:type="dxa"/>
            <w:vAlign w:val="bottom"/>
            <w:gridSpan w:val="3"/>
            <w:shd w:val="clear" w:color="auto" w:fill="CCEEFF"/>
          </w:tcPr>
          <w:p>
            <w:pPr>
              <w:ind w:left="20"/>
              <w:spacing w:after="0" w:line="180"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3.1</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Second Amended and Restated Certificate of Incorporation of Priority Technology Holdings, Inc. (incorporated by reference to Exhibit 3.1</w:t>
              </w:r>
            </w:hyperlink>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to the Company's Current Report on Form 8-K, filed July 31, 2018).</w:t>
              </w:r>
            </w:hyperlink>
          </w:p>
        </w:tc>
        <w:tc>
          <w:tcPr>
            <w:tcW w:w="720" w:type="dxa"/>
            <w:vAlign w:val="bottom"/>
            <w:shd w:val="clear" w:color="auto" w:fill="CCEEFF"/>
          </w:tcPr>
          <w:p>
            <w:pPr>
              <w:spacing w:after="0"/>
              <w:rPr>
                <w:sz w:val="21"/>
                <w:szCs w:val="21"/>
                <w:color w:val="auto"/>
              </w:rPr>
            </w:pPr>
          </w:p>
        </w:tc>
      </w:tr>
      <w:tr>
        <w:trPr>
          <w:trHeight w:val="175"/>
        </w:trPr>
        <w:tc>
          <w:tcPr>
            <w:tcW w:w="1100" w:type="dxa"/>
            <w:vAlign w:val="bottom"/>
            <w:gridSpan w:val="3"/>
          </w:tcPr>
          <w:p>
            <w:pPr>
              <w:ind w:left="20"/>
              <w:spacing w:after="0" w:line="17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3.2</w:t>
              </w:r>
            </w:hyperlink>
          </w:p>
        </w:tc>
        <w:tc>
          <w:tcPr>
            <w:tcW w:w="100" w:type="dxa"/>
            <w:vAlign w:val="bottom"/>
          </w:tcPr>
          <w:p>
            <w:pPr>
              <w:spacing w:after="0"/>
              <w:rPr>
                <w:sz w:val="15"/>
                <w:szCs w:val="15"/>
                <w:color w:val="auto"/>
              </w:rPr>
            </w:pPr>
          </w:p>
        </w:tc>
        <w:tc>
          <w:tcPr>
            <w:tcW w:w="1004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Bylaws of Priority Technology Holdings, Inc. (incorporated by reference to Exhibit 3.2 to the Company's Current</w:t>
              </w:r>
            </w:hyperlink>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Report on Form 8-K, filed July 31, 2018).</w:t>
              </w:r>
            </w:hyperlink>
          </w:p>
        </w:tc>
        <w:tc>
          <w:tcPr>
            <w:tcW w:w="720" w:type="dxa"/>
            <w:vAlign w:val="bottom"/>
          </w:tcPr>
          <w:p>
            <w:pPr>
              <w:spacing w:after="0"/>
              <w:rPr>
                <w:sz w:val="20"/>
                <w:szCs w:val="20"/>
                <w:color w:val="auto"/>
              </w:rPr>
            </w:pPr>
          </w:p>
        </w:tc>
      </w:tr>
      <w:tr>
        <w:trPr>
          <w:trHeight w:val="234"/>
        </w:trPr>
        <w:tc>
          <w:tcPr>
            <w:tcW w:w="110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3.3</w:t>
              </w:r>
            </w:hyperlink>
          </w:p>
        </w:tc>
        <w:tc>
          <w:tcPr>
            <w:tcW w:w="100" w:type="dxa"/>
            <w:vAlign w:val="bottom"/>
            <w:shd w:val="clear" w:color="auto" w:fill="CCEEFF"/>
          </w:tcPr>
          <w:p>
            <w:pPr>
              <w:spacing w:after="0"/>
              <w:rPr>
                <w:sz w:val="20"/>
                <w:szCs w:val="20"/>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Certificate of Designations of Senior Preferred Stock</w:t>
              </w:r>
            </w:hyperlink>
          </w:p>
        </w:tc>
        <w:tc>
          <w:tcPr>
            <w:tcW w:w="720" w:type="dxa"/>
            <w:vAlign w:val="bottom"/>
            <w:shd w:val="clear" w:color="auto" w:fill="CCEEFF"/>
          </w:tcPr>
          <w:p>
            <w:pPr>
              <w:spacing w:after="0"/>
              <w:rPr>
                <w:sz w:val="20"/>
                <w:szCs w:val="20"/>
                <w:color w:val="auto"/>
              </w:rPr>
            </w:pPr>
          </w:p>
        </w:tc>
      </w:tr>
      <w:tr>
        <w:trPr>
          <w:trHeight w:val="230"/>
        </w:trPr>
        <w:tc>
          <w:tcPr>
            <w:tcW w:w="1100" w:type="dxa"/>
            <w:vAlign w:val="bottom"/>
            <w:gridSpan w:val="3"/>
          </w:tcPr>
          <w:p>
            <w:pPr>
              <w:ind w:left="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4.1</w:t>
              </w:r>
            </w:hyperlink>
          </w:p>
        </w:tc>
        <w:tc>
          <w:tcPr>
            <w:tcW w:w="100" w:type="dxa"/>
            <w:vAlign w:val="bottom"/>
          </w:tcPr>
          <w:p>
            <w:pPr>
              <w:spacing w:after="0"/>
              <w:rPr>
                <w:sz w:val="19"/>
                <w:szCs w:val="19"/>
                <w:color w:val="auto"/>
              </w:rPr>
            </w:pPr>
          </w:p>
        </w:tc>
        <w:tc>
          <w:tcPr>
            <w:tcW w:w="10040" w:type="dxa"/>
            <w:vAlign w:val="bottom"/>
            <w:gridSpan w:val="2"/>
          </w:tcPr>
          <w:p>
            <w:pPr>
              <w:ind w:left="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Specimen Unit Certificate (incorporated by reference to Exhibit 4.1 to the Registration Statement on Form S-1, filed July 26, 2016</w:t>
              </w:r>
            </w:hyperlink>
            <w:r>
              <w:rPr>
                <w:rFonts w:ascii="Times New Roman" w:cs="Times New Roman" w:eastAsia="Times New Roman" w:hAnsi="Times New Roman"/>
                <w:sz w:val="18"/>
                <w:szCs w:val="18"/>
                <w:color w:val="000000"/>
              </w:rPr>
              <w:t>).</w:t>
            </w:r>
          </w:p>
        </w:tc>
      </w:tr>
      <w:tr>
        <w:trPr>
          <w:trHeight w:val="175"/>
        </w:trPr>
        <w:tc>
          <w:tcPr>
            <w:tcW w:w="1100" w:type="dxa"/>
            <w:vAlign w:val="bottom"/>
            <w:gridSpan w:val="3"/>
            <w:shd w:val="clear" w:color="auto" w:fill="CCEEFF"/>
          </w:tcPr>
          <w:p>
            <w:pPr>
              <w:ind w:left="20"/>
              <w:spacing w:after="0" w:line="17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4.2</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Specimen Common Stock Certificate (incorporated by reference to Exhibit 4.2 to the Registration Statement on Form S-1, filed July 26,</w:t>
              </w:r>
            </w:hyperlink>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2016).</w:t>
              </w:r>
            </w:hyperlink>
          </w:p>
        </w:tc>
        <w:tc>
          <w:tcPr>
            <w:tcW w:w="720" w:type="dxa"/>
            <w:vAlign w:val="bottom"/>
            <w:shd w:val="clear" w:color="auto" w:fill="CCEEFF"/>
          </w:tcPr>
          <w:p>
            <w:pPr>
              <w:spacing w:after="0"/>
              <w:rPr>
                <w:sz w:val="21"/>
                <w:szCs w:val="21"/>
                <w:color w:val="auto"/>
              </w:rPr>
            </w:pPr>
          </w:p>
        </w:tc>
      </w:tr>
      <w:tr>
        <w:trPr>
          <w:trHeight w:val="230"/>
        </w:trPr>
        <w:tc>
          <w:tcPr>
            <w:tcW w:w="1100" w:type="dxa"/>
            <w:vAlign w:val="bottom"/>
            <w:gridSpan w:val="3"/>
          </w:tcPr>
          <w:p>
            <w:pPr>
              <w:ind w:lef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4.3</w:t>
              </w:r>
            </w:hyperlink>
          </w:p>
        </w:tc>
        <w:tc>
          <w:tcPr>
            <w:tcW w:w="100" w:type="dxa"/>
            <w:vAlign w:val="bottom"/>
          </w:tcPr>
          <w:p>
            <w:pPr>
              <w:spacing w:after="0"/>
              <w:rPr>
                <w:sz w:val="19"/>
                <w:szCs w:val="19"/>
                <w:color w:val="auto"/>
              </w:rPr>
            </w:pPr>
          </w:p>
        </w:tc>
        <w:tc>
          <w:tcPr>
            <w:tcW w:w="10040" w:type="dxa"/>
            <w:vAlign w:val="bottom"/>
            <w:gridSpan w:val="2"/>
          </w:tcPr>
          <w:p>
            <w:pPr>
              <w:ind w:lef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Specimen Warrant Certificate (incorporated by reference to Exhibit 4.3 to the Registration Statement on Form S-1, filed July 26, 2016).</w:t>
              </w:r>
            </w:hyperlink>
          </w:p>
        </w:tc>
      </w:tr>
      <w:tr>
        <w:trPr>
          <w:trHeight w:val="175"/>
        </w:trPr>
        <w:tc>
          <w:tcPr>
            <w:tcW w:w="1100" w:type="dxa"/>
            <w:vAlign w:val="bottom"/>
            <w:gridSpan w:val="3"/>
            <w:shd w:val="clear" w:color="auto" w:fill="CCEEFF"/>
          </w:tcPr>
          <w:p>
            <w:pPr>
              <w:ind w:left="20"/>
              <w:spacing w:after="0" w:line="17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4.4</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Warrant Agreement, dated September 13, 2016, by and between American Stock Transfer &amp; Trust Company, LLC and the Registrant</w:t>
              </w:r>
            </w:hyperlink>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4.1 to the Current Report on Form 8-K, filed September 16, 2016).</w:t>
              </w:r>
            </w:hyperlink>
          </w:p>
        </w:tc>
        <w:tc>
          <w:tcPr>
            <w:tcW w:w="720" w:type="dxa"/>
            <w:vAlign w:val="bottom"/>
            <w:shd w:val="clear" w:color="auto" w:fill="CCEEFF"/>
          </w:tcPr>
          <w:p>
            <w:pPr>
              <w:spacing w:after="0"/>
              <w:rPr>
                <w:sz w:val="21"/>
                <w:szCs w:val="21"/>
                <w:color w:val="auto"/>
              </w:rPr>
            </w:pPr>
          </w:p>
        </w:tc>
      </w:tr>
      <w:tr>
        <w:trPr>
          <w:trHeight w:val="189"/>
        </w:trPr>
        <w:tc>
          <w:tcPr>
            <w:tcW w:w="110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100" w:type="dxa"/>
            <w:vAlign w:val="bottom"/>
          </w:tcPr>
          <w:p>
            <w:pPr>
              <w:spacing w:after="0"/>
              <w:rPr>
                <w:sz w:val="16"/>
                <w:szCs w:val="16"/>
                <w:color w:val="auto"/>
              </w:rPr>
            </w:pPr>
          </w:p>
        </w:tc>
        <w:tc>
          <w:tcPr>
            <w:tcW w:w="9320" w:type="dxa"/>
            <w:vAlign w:val="bottom"/>
          </w:tcPr>
          <w:p>
            <w:pPr>
              <w:ind w:left="20"/>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Description of Securities</w:t>
              </w:r>
            </w:hyperlink>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9"/>
        </w:trPr>
        <w:tc>
          <w:tcPr>
            <w:tcW w:w="110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4.6</w:t>
              </w:r>
            </w:hyperlink>
          </w:p>
        </w:tc>
        <w:tc>
          <w:tcPr>
            <w:tcW w:w="100" w:type="dxa"/>
            <w:vAlign w:val="bottom"/>
            <w:shd w:val="clear" w:color="auto" w:fill="CCEEFF"/>
          </w:tcPr>
          <w:p>
            <w:pPr>
              <w:spacing w:after="0"/>
              <w:rPr>
                <w:sz w:val="19"/>
                <w:szCs w:val="19"/>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Warrant</w:t>
              </w:r>
            </w:hyperlink>
          </w:p>
        </w:tc>
        <w:tc>
          <w:tcPr>
            <w:tcW w:w="7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ind w:left="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10.1</w:t>
              </w:r>
            </w:hyperlink>
          </w:p>
        </w:tc>
        <w:tc>
          <w:tcPr>
            <w:tcW w:w="540" w:type="dxa"/>
            <w:vAlign w:val="bottom"/>
          </w:tcPr>
          <w:p>
            <w:pPr>
              <w:spacing w:after="0"/>
              <w:rPr>
                <w:sz w:val="17"/>
                <w:szCs w:val="17"/>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Registration Rights Agreement dated as of July 25, 2018 by and among M I Acquisitions, Inc. and the other parties thereto (incorporated</w:t>
              </w:r>
            </w:hyperlink>
          </w:p>
        </w:tc>
      </w:tr>
      <w:tr>
        <w:trPr>
          <w:trHeight w:val="239"/>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by reference to Exhibit 10.1 to the Company's Current Report on Form 8-K, filed July 31, 2018).</w:t>
              </w:r>
            </w:hyperlink>
          </w:p>
        </w:tc>
      </w:tr>
      <w:tr>
        <w:trPr>
          <w:trHeight w:val="180"/>
        </w:trPr>
        <w:tc>
          <w:tcPr>
            <w:tcW w:w="36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10.2</w:t>
              </w:r>
            </w:hyperlink>
          </w:p>
        </w:tc>
        <w:tc>
          <w:tcPr>
            <w:tcW w:w="5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w:t>
            </w:r>
          </w:p>
        </w:tc>
        <w:tc>
          <w:tcPr>
            <w:tcW w:w="10340" w:type="dxa"/>
            <w:vAlign w:val="bottom"/>
            <w:shd w:val="clear" w:color="auto" w:fill="CCEEFF"/>
          </w:tcPr>
          <w:p>
            <w:pPr>
              <w:ind w:left="320"/>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Priority Technology Holdings, Inc. 2018 Equity Incentive Plan (incorporated by reference to Exhibit 10.2 to the Company's Current</w:t>
              </w:r>
            </w:hyperlink>
          </w:p>
        </w:tc>
      </w:tr>
      <w:tr>
        <w:trPr>
          <w:trHeight w:val="243"/>
        </w:trPr>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Report on Form 8-K, filed July 31, 2018).</w:t>
              </w:r>
            </w:hyperlink>
          </w:p>
        </w:tc>
      </w:tr>
      <w:tr>
        <w:trPr>
          <w:trHeight w:val="229"/>
        </w:trPr>
        <w:tc>
          <w:tcPr>
            <w:tcW w:w="360" w:type="dxa"/>
            <w:vAlign w:val="bottom"/>
          </w:tcPr>
          <w:p>
            <w:pPr>
              <w:ind w:left="2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10.3</w:t>
              </w:r>
            </w:hyperlink>
          </w:p>
        </w:tc>
        <w:tc>
          <w:tcPr>
            <w:tcW w:w="540" w:type="dxa"/>
            <w:vAlign w:val="bottom"/>
          </w:tcPr>
          <w:p>
            <w:pPr>
              <w:spacing w:after="0"/>
              <w:rPr>
                <w:sz w:val="19"/>
                <w:szCs w:val="19"/>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Priority Technology Holdings, Inc. 2021 Employee Stock Purchase Plan</w:t>
              </w:r>
            </w:hyperlink>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10.3.1</w:t>
              </w:r>
            </w:hyperlink>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No. 1 to Priority Technology Holdings, Inc. 2021 Employee Stock Purchase Plan</w:t>
              </w:r>
            </w:hyperlink>
          </w:p>
        </w:tc>
      </w:tr>
      <w:tr>
        <w:trPr>
          <w:trHeight w:val="229"/>
        </w:trPr>
        <w:tc>
          <w:tcPr>
            <w:tcW w:w="360" w:type="dxa"/>
            <w:vAlign w:val="bottom"/>
          </w:tcPr>
          <w:p>
            <w:pPr>
              <w:ind w:left="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10.4</w:t>
              </w:r>
            </w:hyperlink>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tcPr>
          <w:p>
            <w:pPr>
              <w:ind w:left="3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176"/>
        </w:trPr>
        <w:tc>
          <w:tcPr>
            <w:tcW w:w="36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10.5</w:t>
              </w:r>
            </w:hyperlink>
          </w:p>
        </w:tc>
        <w:tc>
          <w:tcPr>
            <w:tcW w:w="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10340" w:type="dxa"/>
            <w:vAlign w:val="bottom"/>
            <w:shd w:val="clear" w:color="auto" w:fill="CCEEFF"/>
          </w:tcPr>
          <w:p>
            <w:pPr>
              <w:ind w:left="320"/>
              <w:spacing w:after="0" w:line="17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Director Agreement by and among Priority Holdings LLC, Pipeline Cynergy Holdings, LLC, Priority Payment Systems Holdings, LLC</w:t>
              </w:r>
            </w:hyperlink>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340" w:type="dxa"/>
            <w:vAlign w:val="bottom"/>
            <w:shd w:val="clear" w:color="auto" w:fill="CCEEFF"/>
          </w:tcPr>
          <w:p>
            <w:pPr>
              <w:ind w:left="320"/>
              <w:spacing w:after="0" w:line="18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and Thomas C. Priore, dated May 21, 2014 (incorporated by reference to Exhibit 10.6 to the Company's Registration Statement on Form</w:t>
              </w:r>
            </w:hyperlink>
          </w:p>
        </w:tc>
      </w:tr>
      <w:tr>
        <w:trPr>
          <w:trHeight w:val="234"/>
        </w:trPr>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S-4/A, filed December 26, 2018).</w:t>
              </w:r>
            </w:hyperlink>
          </w:p>
        </w:tc>
      </w:tr>
      <w:tr>
        <w:trPr>
          <w:trHeight w:val="175"/>
        </w:trPr>
        <w:tc>
          <w:tcPr>
            <w:tcW w:w="360" w:type="dxa"/>
            <w:vAlign w:val="bottom"/>
          </w:tcPr>
          <w:p>
            <w:pPr>
              <w:ind w:left="20"/>
              <w:spacing w:after="0" w:line="17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10.6</w:t>
              </w:r>
            </w:hyperlink>
          </w:p>
        </w:tc>
        <w:tc>
          <w:tcPr>
            <w:tcW w:w="54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No. 1 to Director Agreement by and among Priority Holdings LLC, Pipeline Cynergy Holdings, LLC, Priority Payment</w:t>
              </w:r>
            </w:hyperlink>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tcPr>
          <w:p>
            <w:pPr>
              <w:ind w:left="320"/>
              <w:spacing w:after="0" w:line="18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Systems Holdings, LLC and Thomas C. Priore, dated April 19, 2018 (incorporated by reference to Exhibit 10.7 to the Company's</w:t>
              </w:r>
            </w:hyperlink>
          </w:p>
        </w:tc>
      </w:tr>
      <w:tr>
        <w:trPr>
          <w:trHeight w:val="234"/>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Registration Statement on Form S-4/A, filed December 26, 2018).</w:t>
              </w:r>
            </w:hyperlink>
          </w:p>
        </w:tc>
      </w:tr>
      <w:tr>
        <w:trPr>
          <w:trHeight w:val="229"/>
        </w:trPr>
        <w:tc>
          <w:tcPr>
            <w:tcW w:w="36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10.7</w:t>
              </w:r>
            </w:hyperlink>
          </w:p>
        </w:tc>
        <w:tc>
          <w:tcPr>
            <w:tcW w:w="540" w:type="dxa"/>
            <w:vAlign w:val="bottom"/>
            <w:shd w:val="clear" w:color="auto" w:fill="CCEEFF"/>
          </w:tcPr>
          <w:p>
            <w:pPr>
              <w:spacing w:after="0"/>
              <w:rPr>
                <w:sz w:val="19"/>
                <w:szCs w:val="19"/>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Executive Employment Agreement of Bradley Miller dated April 15, 2022</w:t>
              </w:r>
            </w:hyperlink>
          </w:p>
        </w:tc>
      </w:tr>
      <w:tr>
        <w:trPr>
          <w:trHeight w:val="229"/>
        </w:trPr>
        <w:tc>
          <w:tcPr>
            <w:tcW w:w="360" w:type="dxa"/>
            <w:vAlign w:val="bottom"/>
          </w:tcPr>
          <w:p>
            <w:pPr>
              <w:ind w:left="2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10.8</w:t>
              </w:r>
            </w:hyperlink>
          </w:p>
        </w:tc>
        <w:tc>
          <w:tcPr>
            <w:tcW w:w="540" w:type="dxa"/>
            <w:vAlign w:val="bottom"/>
          </w:tcPr>
          <w:p>
            <w:pPr>
              <w:spacing w:after="0"/>
              <w:rPr>
                <w:sz w:val="19"/>
                <w:szCs w:val="19"/>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Executive Employment Agreement of Timothy O'Leary dated September 19, 2022</w:t>
              </w:r>
            </w:hyperlink>
          </w:p>
        </w:tc>
      </w:tr>
      <w:tr>
        <w:trPr>
          <w:trHeight w:val="230"/>
        </w:trPr>
        <w:tc>
          <w:tcPr>
            <w:tcW w:w="36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10.9</w:t>
              </w:r>
            </w:hyperlink>
          </w:p>
        </w:tc>
        <w:tc>
          <w:tcPr>
            <w:tcW w:w="540" w:type="dxa"/>
            <w:vAlign w:val="bottom"/>
            <w:shd w:val="clear" w:color="auto" w:fill="CCEEFF"/>
          </w:tcPr>
          <w:p>
            <w:pPr>
              <w:spacing w:after="0"/>
              <w:rPr>
                <w:sz w:val="19"/>
                <w:szCs w:val="19"/>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Restricted Stock Unit Award Agreement</w:t>
              </w:r>
            </w:hyperlink>
          </w:p>
        </w:tc>
      </w:tr>
      <w:tr>
        <w:trPr>
          <w:trHeight w:val="175"/>
        </w:trPr>
        <w:tc>
          <w:tcPr>
            <w:tcW w:w="900" w:type="dxa"/>
            <w:vAlign w:val="bottom"/>
            <w:gridSpan w:val="2"/>
          </w:tcPr>
          <w:p>
            <w:pPr>
              <w:ind w:left="20"/>
              <w:spacing w:after="0" w:line="175"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 xml:space="preserve">10.10 </w:t>
              </w:r>
            </w:hyperlink>
            <w:r>
              <w:rPr>
                <w:rFonts w:ascii="Arial" w:cs="Arial" w:eastAsia="Arial" w:hAnsi="Arial"/>
                <w:sz w:val="18"/>
                <w:szCs w:val="18"/>
                <w:color w:val="000000"/>
              </w:rPr>
              <w:t>†</w:t>
            </w:r>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Independent Director Agreement (incorporated by reference to Exhibit 10.19 to the Company's Annual Report on Form 10-K,</w:t>
              </w:r>
            </w:hyperlink>
          </w:p>
        </w:tc>
      </w:tr>
      <w:tr>
        <w:trPr>
          <w:trHeight w:val="239"/>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filed March 29, 2019).</w:t>
              </w:r>
            </w:hyperlink>
          </w:p>
        </w:tc>
      </w:tr>
      <w:tr>
        <w:trPr>
          <w:trHeight w:val="180"/>
        </w:trPr>
        <w:tc>
          <w:tcPr>
            <w:tcW w:w="90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10.11</w:t>
              </w:r>
            </w:hyperlink>
          </w:p>
        </w:tc>
        <w:tc>
          <w:tcPr>
            <w:tcW w:w="10340" w:type="dxa"/>
            <w:vAlign w:val="bottom"/>
            <w:shd w:val="clear" w:color="auto" w:fill="CCEEFF"/>
          </w:tcPr>
          <w:p>
            <w:pPr>
              <w:ind w:left="320"/>
              <w:spacing w:after="0" w:line="180"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Asset Purchase Agreement by and between MRI Payments LLC, MRI Software LLC, and Priority Real Estate Technology LLC, dated</w:t>
              </w:r>
            </w:hyperlink>
          </w:p>
        </w:tc>
      </w:tr>
      <w:tr>
        <w:trPr>
          <w:trHeight w:val="243"/>
        </w:trPr>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August 31, 2020 (incorporated by reference to Exhibit 10.1 to the Company's Current Report on Form 8-K filed September 1, 2020).</w:t>
              </w:r>
            </w:hyperlink>
          </w:p>
        </w:tc>
      </w:tr>
      <w:tr>
        <w:trPr>
          <w:trHeight w:val="229"/>
        </w:trPr>
        <w:tc>
          <w:tcPr>
            <w:tcW w:w="900" w:type="dxa"/>
            <w:vAlign w:val="bottom"/>
            <w:gridSpan w:val="2"/>
          </w:tcPr>
          <w:p>
            <w:pPr>
              <w:ind w:left="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10.12</w:t>
              </w:r>
            </w:hyperlink>
          </w:p>
        </w:tc>
        <w:tc>
          <w:tcPr>
            <w:tcW w:w="10340" w:type="dxa"/>
            <w:vAlign w:val="bottom"/>
          </w:tcPr>
          <w:p>
            <w:pPr>
              <w:ind w:left="3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Support Agreement, dated as of March 5, 2021, by and among the Stockholders and Finxera</w:t>
              </w:r>
            </w:hyperlink>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10.13</w:t>
              </w:r>
            </w:hyperlink>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Debt Commitment Letter, dated as of March 5, 2021, between Priority Holdings, LLC and Truist Securities, Inc.</w:t>
              </w:r>
            </w:hyperlink>
          </w:p>
        </w:tc>
      </w:tr>
      <w:tr>
        <w:trPr>
          <w:trHeight w:val="175"/>
        </w:trPr>
        <w:tc>
          <w:tcPr>
            <w:tcW w:w="90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10.14</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Preferred Stock Commitment Letter, dated as of March 5, 2021, among the Company and certain affiliates of Ares Capital Management</w:t>
              </w:r>
            </w:hyperlink>
          </w:p>
        </w:tc>
      </w:tr>
      <w:tr>
        <w:trPr>
          <w:trHeight w:val="239"/>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LLC</w:t>
              </w:r>
            </w:hyperlink>
          </w:p>
        </w:tc>
      </w:tr>
      <w:tr>
        <w:trPr>
          <w:trHeight w:val="234"/>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10.15 </w:t>
              </w:r>
            </w:hyperlink>
            <w:r>
              <w:rPr>
                <w:rFonts w:ascii="Arial" w:cs="Arial" w:eastAsia="Arial" w:hAnsi="Arial"/>
                <w:sz w:val="18"/>
                <w:szCs w:val="18"/>
                <w:color w:val="000000"/>
              </w:rPr>
              <w:t>†</w:t>
            </w: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Securities Purchase Agreement, dated as of April 27, 2021, among the Company and the Investors named therein</w:t>
              </w:r>
            </w:hyperlink>
          </w:p>
        </w:tc>
      </w:tr>
      <w:tr>
        <w:trPr>
          <w:trHeight w:val="229"/>
        </w:trPr>
        <w:tc>
          <w:tcPr>
            <w:tcW w:w="900" w:type="dxa"/>
            <w:vAlign w:val="bottom"/>
            <w:gridSpan w:val="2"/>
          </w:tcPr>
          <w:p>
            <w:pPr>
              <w:ind w:left="20"/>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10.16</w:t>
              </w:r>
            </w:hyperlink>
            <w:r>
              <w:rPr>
                <w:rFonts w:ascii="Arial" w:cs="Arial" w:eastAsia="Arial" w:hAnsi="Arial"/>
                <w:sz w:val="18"/>
                <w:szCs w:val="18"/>
                <w:color w:val="000000"/>
              </w:rPr>
              <w:t>†</w:t>
            </w:r>
          </w:p>
        </w:tc>
        <w:tc>
          <w:tcPr>
            <w:tcW w:w="10340" w:type="dxa"/>
            <w:vAlign w:val="bottom"/>
          </w:tcPr>
          <w:p>
            <w:pPr>
              <w:ind w:left="320"/>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Registration Rights Agreement, dated as of April 27, 2021, among the Company and the Investors name therein</w:t>
              </w:r>
            </w:hyperlink>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 xml:space="preserve">10.17 </w:t>
              </w:r>
            </w:hyperlink>
            <w:r>
              <w:rPr>
                <w:rFonts w:ascii="Arial" w:cs="Arial" w:eastAsia="Arial" w:hAnsi="Arial"/>
                <w:sz w:val="18"/>
                <w:szCs w:val="18"/>
                <w:color w:val="000000"/>
              </w:rPr>
              <w:t>†</w:t>
            </w: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175"/>
        </w:trPr>
        <w:tc>
          <w:tcPr>
            <w:tcW w:w="90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10.18</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Amendment No. 2, dated September 17, 2021, to the Credit Agreement, dated as of April 27, 2021, by and among the Loan Parties named</w:t>
              </w:r>
            </w:hyperlink>
          </w:p>
        </w:tc>
      </w:tr>
      <w:tr>
        <w:trPr>
          <w:trHeight w:val="239"/>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therein and Truist Bank.</w:t>
              </w:r>
            </w:hyperlink>
          </w:p>
        </w:tc>
      </w:tr>
      <w:tr>
        <w:trPr>
          <w:trHeight w:val="180"/>
        </w:trPr>
        <w:tc>
          <w:tcPr>
            <w:tcW w:w="90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10.19</w:t>
              </w:r>
            </w:hyperlink>
          </w:p>
        </w:tc>
        <w:tc>
          <w:tcPr>
            <w:tcW w:w="10340" w:type="dxa"/>
            <w:vAlign w:val="bottom"/>
            <w:shd w:val="clear" w:color="auto" w:fill="CCEEFF"/>
          </w:tcPr>
          <w:p>
            <w:pPr>
              <w:ind w:left="320"/>
              <w:spacing w:after="0" w:line="180"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Third Amendment to the Credit and Guaranty Agreement, dated as of June 30, 2023, by and among Priority Holdings, LLC, as the Initial</w:t>
              </w:r>
            </w:hyperlink>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340" w:type="dxa"/>
            <w:vAlign w:val="bottom"/>
            <w:shd w:val="clear" w:color="auto" w:fill="CCEEFF"/>
          </w:tcPr>
          <w:p>
            <w:pPr>
              <w:ind w:left="320"/>
              <w:spacing w:after="0" w:line="184"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Borrower, the Credit Parties thereto, the 2023 Incremental Revolving Credit Lender and Truist Bank, as Administrative Agent and</w:t>
              </w:r>
            </w:hyperlink>
          </w:p>
        </w:tc>
      </w:tr>
      <w:tr>
        <w:trPr>
          <w:trHeight w:val="234"/>
        </w:trPr>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Collateral Agent.</w:t>
              </w:r>
            </w:hyperlink>
          </w:p>
        </w:tc>
      </w:tr>
      <w:tr>
        <w:trPr>
          <w:trHeight w:val="175"/>
        </w:trPr>
        <w:tc>
          <w:tcPr>
            <w:tcW w:w="90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10.20</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Fourth Amendment to the Credit and Guaranty Agreement, dated as of October 2, 2023, by and among Priority Holdings, LLC, as the</w:t>
              </w:r>
            </w:hyperlink>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tcPr>
          <w:p>
            <w:pPr>
              <w:ind w:left="320"/>
              <w:spacing w:after="0" w:line="18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Initial Borrower, the Credit Parties party thereto, the 2023-1 Incremental Term Lender and Truist Bank, as Administrative Agent and</w:t>
              </w:r>
            </w:hyperlink>
          </w:p>
        </w:tc>
      </w:tr>
      <w:tr>
        <w:trPr>
          <w:trHeight w:val="234"/>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Collateral Agent.</w:t>
              </w:r>
            </w:hyperlink>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10.21</w:t>
              </w:r>
            </w:hyperlink>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Priority Technology Holdings, Inc. Recoupment Policy adopted March 1, 2023</w:t>
              </w:r>
            </w:hyperlink>
          </w:p>
        </w:tc>
      </w:tr>
      <w:tr>
        <w:trPr>
          <w:trHeight w:val="175"/>
        </w:trPr>
        <w:tc>
          <w:tcPr>
            <w:tcW w:w="90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10.22</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1 to Equity and Asset Purchase Agreement, dated July 31, 2023, by and among Plastiq, Powered by Priority, LLC,</w:t>
              </w:r>
            </w:hyperlink>
          </w:p>
        </w:tc>
      </w:tr>
      <w:tr>
        <w:trPr>
          <w:trHeight w:val="239"/>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Plastiq Inc., PLV Inc. and Nearside Business Corp.</w:t>
              </w:r>
            </w:hyperlink>
          </w:p>
        </w:tc>
      </w:tr>
      <w:tr>
        <w:trPr>
          <w:trHeight w:val="234"/>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10.23</w:t>
              </w:r>
            </w:hyperlink>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Side Letter Agreement, dated July 28, 2023, by and between Plastiq, Powered by Priority, LLC and Colonnade Acquisition Corp. II.</w:t>
              </w:r>
            </w:hyperlink>
          </w:p>
        </w:tc>
      </w:tr>
      <w:tr>
        <w:trPr>
          <w:trHeight w:val="175"/>
        </w:trPr>
        <w:tc>
          <w:tcPr>
            <w:tcW w:w="90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10.24</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Earnout Agreement, dated July 31, 2023, by and among Plastiq, Powered by Priority, LLC, Plastiq Inc., PLV Inc., Nearside Business</w:t>
              </w:r>
            </w:hyperlink>
          </w:p>
        </w:tc>
      </w:tr>
      <w:tr>
        <w:trPr>
          <w:trHeight w:val="239"/>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Corp., Blue Torch Finance, LLC and Priority Holdings, LLC.</w:t>
              </w:r>
            </w:hyperlink>
          </w:p>
        </w:tc>
      </w:tr>
      <w:tr>
        <w:trPr>
          <w:trHeight w:val="180"/>
        </w:trPr>
        <w:tc>
          <w:tcPr>
            <w:tcW w:w="90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10.25</w:t>
              </w:r>
            </w:hyperlink>
          </w:p>
        </w:tc>
        <w:tc>
          <w:tcPr>
            <w:tcW w:w="10340" w:type="dxa"/>
            <w:vAlign w:val="bottom"/>
            <w:shd w:val="clear" w:color="auto" w:fill="CCEEFF"/>
          </w:tcPr>
          <w:p>
            <w:pPr>
              <w:ind w:left="320"/>
              <w:spacing w:after="0" w:line="180"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Priority Technology Holdings, Inc. Amended and Restated Certificate of Designations of the Powers, Preferences and Relative,</w:t>
              </w:r>
            </w:hyperlink>
          </w:p>
        </w:tc>
      </w:tr>
      <w:tr>
        <w:trPr>
          <w:trHeight w:val="243"/>
        </w:trPr>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Participating, Optional and Other Special Rights, and Qualifications, Limitations and Restrictions thereof, of Senior Preferred Stock.</w:t>
              </w:r>
            </w:hyperlink>
          </w:p>
        </w:tc>
      </w:tr>
      <w:tr>
        <w:trPr>
          <w:trHeight w:val="230"/>
        </w:trPr>
        <w:tc>
          <w:tcPr>
            <w:tcW w:w="900" w:type="dxa"/>
            <w:vAlign w:val="bottom"/>
            <w:gridSpan w:val="2"/>
          </w:tcPr>
          <w:p>
            <w:pPr>
              <w:ind w:left="20"/>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10.26</w:t>
              </w:r>
            </w:hyperlink>
          </w:p>
        </w:tc>
        <w:tc>
          <w:tcPr>
            <w:tcW w:w="10340" w:type="dxa"/>
            <w:vAlign w:val="bottom"/>
          </w:tcPr>
          <w:p>
            <w:pPr>
              <w:ind w:left="320"/>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Rule 10b5-1 Sales Plan, dated June 16, 2023, by and between Sean Kiewiet and J.P. Morgan Securities LLC.</w:t>
              </w:r>
            </w:hyperlink>
          </w:p>
        </w:tc>
      </w:tr>
      <w:tr>
        <w:trPr>
          <w:trHeight w:val="22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21.1</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0000FF"/>
              </w:rPr>
              <w:t>Subsidiaries</w:t>
            </w: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23.1</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175"/>
        </w:trPr>
        <w:tc>
          <w:tcPr>
            <w:tcW w:w="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rPr>
              <w:t>31.1</w:t>
            </w:r>
          </w:p>
        </w:tc>
        <w:tc>
          <w:tcPr>
            <w:tcW w:w="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34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 and Rule 15d-14(a), promulgated under the Securities and Exchange Act</w:t>
            </w:r>
          </w:p>
        </w:tc>
      </w:tr>
      <w:tr>
        <w:trPr>
          <w:trHeight w:val="243"/>
        </w:trPr>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0000FF"/>
              </w:rPr>
              <w:t>of 1934, as amended.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 xml:space="preserve">31.2 </w:t>
            </w:r>
            <w:r>
              <w:rPr>
                <w:rFonts w:ascii="Times New Roman" w:cs="Times New Roman" w:eastAsia="Times New Roman" w:hAnsi="Times New Roman"/>
                <w:sz w:val="18"/>
                <w:szCs w:val="18"/>
                <w:color w:val="000000"/>
              </w:rPr>
              <w:t>*</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 13a-14(a) as adopted pursuant to Section 302 of the Sarbanes-</w:t>
            </w:r>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Oxley Act of 2002</w:t>
            </w:r>
          </w:p>
        </w:tc>
      </w:tr>
      <w:tr>
        <w:trPr>
          <w:trHeight w:val="180"/>
        </w:trPr>
        <w:tc>
          <w:tcPr>
            <w:tcW w:w="1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0000FF"/>
              </w:rPr>
              <w:t xml:space="preserve">32 </w:t>
            </w:r>
            <w:r>
              <w:rPr>
                <w:rFonts w:ascii="Times New Roman" w:cs="Times New Roman" w:eastAsia="Times New Roman" w:hAnsi="Times New Roman"/>
                <w:sz w:val="18"/>
                <w:szCs w:val="18"/>
                <w:color w:val="000000"/>
              </w:rPr>
              <w:t>*</w:t>
            </w:r>
          </w:p>
        </w:tc>
        <w:tc>
          <w:tcPr>
            <w:tcW w:w="10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 *</w:t>
            </w:r>
          </w:p>
        </w:tc>
        <w:tc>
          <w:tcPr>
            <w:tcW w:w="102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Times New Roman" w:cs="Times New Roman" w:eastAsia="Times New Roman" w:hAnsi="Times New Roman"/>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662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March 12, 2024</w:t>
            </w:r>
          </w:p>
        </w:tc>
        <w:tc>
          <w:tcPr>
            <w:tcW w:w="30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49"/>
        </w:trPr>
        <w:tc>
          <w:tcPr>
            <w:tcW w:w="2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Thomas C. Priore</w:t>
            </w:r>
          </w:p>
        </w:tc>
        <w:tc>
          <w:tcPr>
            <w:tcW w:w="2060" w:type="dxa"/>
            <w:vAlign w:val="bottom"/>
          </w:tcPr>
          <w:p>
            <w:pPr>
              <w:spacing w:after="0"/>
              <w:rPr>
                <w:sz w:val="12"/>
                <w:szCs w:val="12"/>
                <w:color w:val="auto"/>
              </w:rPr>
            </w:pPr>
          </w:p>
        </w:tc>
      </w:tr>
      <w:tr>
        <w:trPr>
          <w:trHeight w:val="182"/>
        </w:trPr>
        <w:tc>
          <w:tcPr>
            <w:tcW w:w="27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5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w:t>
            </w:r>
          </w:p>
        </w:tc>
      </w:tr>
      <w:tr>
        <w:trPr>
          <w:trHeight w:val="236"/>
        </w:trPr>
        <w:tc>
          <w:tcPr>
            <w:tcW w:w="2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3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8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8"/>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Thomas C. Priore</w:t>
            </w: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President, Chief Executive Officer and Chairman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Thomas C. Priore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400"/>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Timothy M. O'Leary</w:t>
            </w: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Timothy M. O'Leary</w:t>
            </w:r>
          </w:p>
        </w:tc>
        <w:tc>
          <w:tcPr>
            <w:tcW w:w="136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427"/>
        </w:trPr>
        <w:tc>
          <w:tcPr>
            <w:tcW w:w="30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/s/ Rajiv Kumar</w:t>
            </w: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Senior Vice President and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80" w:type="dxa"/>
            <w:vAlign w:val="bottom"/>
            <w:gridSpan w:val="9"/>
            <w:vMerge w:val="continue"/>
          </w:tcPr>
          <w:p>
            <w:pPr>
              <w:spacing w:after="0"/>
              <w:rPr>
                <w:sz w:val="16"/>
                <w:szCs w:val="16"/>
                <w:color w:val="auto"/>
              </w:rPr>
            </w:pPr>
          </w:p>
        </w:tc>
        <w:tc>
          <w:tcPr>
            <w:tcW w:w="50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Chief Accounting Officer</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Rajiv Kumar</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400"/>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John Priore</w:t>
            </w:r>
          </w:p>
        </w:tc>
        <w:tc>
          <w:tcPr>
            <w:tcW w:w="5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250"/>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Priore</w:t>
            </w:r>
          </w:p>
        </w:tc>
        <w:tc>
          <w:tcPr>
            <w:tcW w:w="2040" w:type="dxa"/>
            <w:vAlign w:val="bottom"/>
            <w:gridSpan w:val="8"/>
          </w:tcPr>
          <w:p>
            <w:pPr>
              <w:spacing w:after="0"/>
              <w:rPr>
                <w:sz w:val="21"/>
                <w:szCs w:val="21"/>
                <w:color w:val="auto"/>
              </w:rPr>
            </w:pPr>
          </w:p>
        </w:tc>
        <w:tc>
          <w:tcPr>
            <w:tcW w:w="50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Michael Passilla</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Michael Passilla</w:t>
            </w: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Marietta C. Davis</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228"/>
        </w:trPr>
        <w:tc>
          <w:tcPr>
            <w:tcW w:w="15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Marietta C. Davis</w:t>
            </w: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Christina M. Favilla</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Christina M. Favilla</w:t>
            </w: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Marc Crisafulli</w:t>
            </w:r>
          </w:p>
        </w:tc>
        <w:tc>
          <w:tcPr>
            <w:tcW w:w="5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March 12, 2024</w:t>
            </w:r>
          </w:p>
        </w:tc>
        <w:tc>
          <w:tcPr>
            <w:tcW w:w="0" w:type="dxa"/>
            <w:vAlign w:val="bottom"/>
          </w:tcPr>
          <w:p>
            <w:pPr>
              <w:spacing w:after="0"/>
              <w:rPr>
                <w:sz w:val="1"/>
                <w:szCs w:val="1"/>
                <w:color w:val="auto"/>
              </w:rPr>
            </w:pPr>
          </w:p>
        </w:tc>
      </w:tr>
      <w:tr>
        <w:trPr>
          <w:trHeight w:val="228"/>
        </w:trPr>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Marc Crisafulli</w:t>
            </w:r>
          </w:p>
        </w:tc>
        <w:tc>
          <w:tcPr>
            <w:tcW w:w="1760" w:type="dxa"/>
            <w:vAlign w:val="bottom"/>
            <w:gridSpan w:val="6"/>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Subsidiaries of Priority Technology Holdings,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Holdings,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Payment Systems,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Hospitality Technology,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Ovvi,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Payright Health Solutions,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Commerce Canada, Inc. (Canada)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Real Estate Technology,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Finance,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Commercial Payments,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Plastiq, Powered by Priority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Plastiq Canada, Inc. (Canada)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Finxera Holdings,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Finxera Intermediate,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Finxera,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IDC Private Limited (India)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Enhanced Capital RETC Fund XII,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Account Administration Services,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 Ventures,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Ambient TPA Solutions,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Property Rev,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Wave,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Build, LLC</w:t>
      </w:r>
    </w:p>
    <w:p>
      <w:pPr>
        <w:sectPr>
          <w:pgSz w:w="11900" w:h="16838" w:orient="portrait"/>
          <w:cols w:equalWidth="0" w:num="1">
            <w:col w:w="11240"/>
          </w:cols>
          <w:pgMar w:left="320" w:top="369" w:right="339" w:bottom="1440" w:gutter="0" w:footer="0" w:header="0"/>
        </w:sectPr>
      </w:pPr>
    </w:p>
    <w:bookmarkStart w:id="102" w:name="page103"/>
    <w:bookmarkEnd w:id="102"/>
    <w:p>
      <w:pPr>
        <w:ind w:left="7132"/>
        <w:spacing w:after="0"/>
        <w:rPr>
          <w:sz w:val="20"/>
          <w:szCs w:val="20"/>
          <w:color w:val="auto"/>
        </w:rPr>
      </w:pPr>
      <w:r>
        <w:rPr>
          <w:rFonts w:ascii="Times New Roman" w:cs="Times New Roman" w:eastAsia="Times New Roman" w:hAnsi="Times New Roman"/>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right="3100" w:firstLine="2918"/>
        <w:spacing w:after="0" w:line="408" w:lineRule="auto"/>
        <w:rPr>
          <w:sz w:val="20"/>
          <w:szCs w:val="20"/>
          <w:color w:val="auto"/>
        </w:rPr>
      </w:pPr>
      <w:r>
        <w:rPr>
          <w:rFonts w:ascii="Times New Roman" w:cs="Times New Roman" w:eastAsia="Times New Roman" w:hAnsi="Times New Roman"/>
          <w:sz w:val="20"/>
          <w:szCs w:val="20"/>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312" w:hanging="312"/>
        <w:spacing w:after="0"/>
        <w:tabs>
          <w:tab w:leader="none" w:pos="31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333-226713) of Priority Technology Holdings, Inc.,</w:t>
      </w:r>
    </w:p>
    <w:p>
      <w:pPr>
        <w:spacing w:after="0" w:line="28"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333-230620) of Priority Technology Holdings, Inc.,</w:t>
      </w:r>
    </w:p>
    <w:p>
      <w:pPr>
        <w:spacing w:after="0" w:line="13"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333-264064) of Priority Technology Holdings, Inc.,</w:t>
      </w:r>
    </w:p>
    <w:p>
      <w:pPr>
        <w:spacing w:after="0" w:line="26"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333-268918) of Priority Technology Holdings, Inc., and</w:t>
      </w:r>
    </w:p>
    <w:p>
      <w:pPr>
        <w:spacing w:after="0" w:line="13"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333-268919) of Priority Technology Holdings, Inc.;</w:t>
      </w:r>
    </w:p>
    <w:p>
      <w:pPr>
        <w:spacing w:after="0" w:line="254" w:lineRule="exact"/>
        <w:rPr>
          <w:rFonts w:ascii="Times New Roman" w:cs="Times New Roman" w:eastAsia="Times New Roman" w:hAnsi="Times New Roman"/>
          <w:sz w:val="20"/>
          <w:szCs w:val="20"/>
          <w:color w:val="auto"/>
        </w:rPr>
      </w:pPr>
    </w:p>
    <w:p>
      <w:pPr>
        <w:ind w:left="332"/>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our report dated March 12, 2024, with respect to the consolidated financial statements of Priority Technology Holdings, Inc. included in this Annual Report (Form 10-K) of Priority Technology Holdings, Inc. for the year ended December 31, 2023.</w:t>
      </w: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33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 Ernst &amp; Young LLP</w:t>
      </w:r>
    </w:p>
    <w:p>
      <w:pPr>
        <w:spacing w:after="0" w:line="269" w:lineRule="exact"/>
        <w:rPr>
          <w:rFonts w:ascii="Times New Roman" w:cs="Times New Roman" w:eastAsia="Times New Roman" w:hAnsi="Times New Roman"/>
          <w:sz w:val="20"/>
          <w:szCs w:val="20"/>
          <w:color w:val="auto"/>
        </w:rPr>
      </w:pPr>
    </w:p>
    <w:p>
      <w:pPr>
        <w:jc w:val="both"/>
        <w:ind w:left="332" w:right="9460"/>
        <w:spacing w:after="0" w:line="3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Atlanta, Georgia March 12, 2024</w:t>
      </w:r>
    </w:p>
    <w:p>
      <w:pPr>
        <w:sectPr>
          <w:pgSz w:w="11900" w:h="16838" w:orient="portrait"/>
          <w:cols w:equalWidth="0" w:num="1">
            <w:col w:w="11092"/>
          </w:cols>
          <w:pgMar w:left="328" w:top="104" w:right="4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60"/>
        <w:spacing w:after="0"/>
        <w:tabs>
          <w:tab w:leader="none" w:pos="8560" w:val="left"/>
        </w:tabs>
        <w:rPr>
          <w:sz w:val="20"/>
          <w:szCs w:val="20"/>
          <w:color w:val="auto"/>
        </w:rPr>
      </w:pPr>
      <w:r>
        <w:rPr>
          <w:rFonts w:ascii="Times New Roman" w:cs="Times New Roman" w:eastAsia="Times New Roman" w:hAnsi="Times New Roman"/>
          <w:sz w:val="18"/>
          <w:szCs w:val="18"/>
          <w:color w:val="auto"/>
        </w:rPr>
        <w:t>March 12, 2024</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17145</wp:posOffset>
            </wp:positionV>
            <wp:extent cx="24345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23"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0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399" w:lineRule="exact"/>
        <w:rPr>
          <w:sz w:val="20"/>
          <w:szCs w:val="20"/>
          <w:color w:val="auto"/>
        </w:rPr>
      </w:pPr>
    </w:p>
    <w:p>
      <w:pPr>
        <w:jc w:val="center"/>
        <w:ind w:left="340" w:right="2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O'Leary, certify that:</w:t>
      </w:r>
    </w:p>
    <w:p>
      <w:pPr>
        <w:spacing w:after="0" w:line="252"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160"/>
        <w:spacing w:after="0"/>
        <w:tabs>
          <w:tab w:leader="none" w:pos="8000" w:val="left"/>
        </w:tabs>
        <w:rPr>
          <w:sz w:val="20"/>
          <w:szCs w:val="20"/>
          <w:color w:val="auto"/>
        </w:rPr>
      </w:pPr>
      <w:r>
        <w:rPr>
          <w:rFonts w:ascii="Times New Roman" w:cs="Times New Roman" w:eastAsia="Times New Roman" w:hAnsi="Times New Roman"/>
          <w:sz w:val="18"/>
          <w:szCs w:val="18"/>
          <w:color w:val="auto"/>
        </w:rPr>
        <w:t>March 12, 2024</w:t>
      </w:r>
      <w:r>
        <w:rPr>
          <w:sz w:val="20"/>
          <w:szCs w:val="20"/>
          <w:color w:val="auto"/>
        </w:rPr>
        <w:tab/>
      </w:r>
      <w:r>
        <w:rPr>
          <w:rFonts w:ascii="Times New Roman" w:cs="Times New Roman" w:eastAsia="Times New Roman" w:hAnsi="Times New Roman"/>
          <w:sz w:val="17"/>
          <w:szCs w:val="17"/>
          <w:color w:val="auto"/>
        </w:rPr>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0600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Timothy O'Leary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5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Priority Technology Holdings, Inc. (the "Company") for the year ended December 31, 2023 as filed with the Securities and Exchange Commission (the "Report"), each of the undersigned, on the dates indicated below, hereby certifies pursuant to 18 U.S.C. Section 1350, as adopted pursuant to Section 906 of the Sarbanes-Oxley Act of 2002, that:</w:t>
      </w:r>
    </w:p>
    <w:p>
      <w:pPr>
        <w:spacing w:after="0" w:line="203"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March 12, 2024</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March 12, 2024</w:t>
      </w:r>
      <w:r>
        <w:rPr>
          <w:sz w:val="20"/>
          <w:szCs w:val="20"/>
          <w:color w:val="auto"/>
        </w:rPr>
        <w:tab/>
      </w:r>
      <w:r>
        <w:rPr>
          <w:rFonts w:ascii="Times New Roman" w:cs="Times New Roman" w:eastAsia="Times New Roman" w:hAnsi="Times New Roman"/>
          <w:sz w:val="17"/>
          <w:szCs w:val="17"/>
          <w:color w:val="auto"/>
        </w:rPr>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Timothy O'Leary</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10-K or as a separate disclosure document.</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2"/>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2"/>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lvl w:ilvl="1">
      <w:lvlJc w:val="left"/>
      <w:lvlText w:val="(%2)"/>
      <w:numFmt w:val="decimal"/>
      <w:start w:val="1"/>
    </w:lvl>
  </w:abstractNum>
  <w:abstractNum w:abstractNumId="25">
    <w:nsid w:val="1D4ED43B"/>
    <w:multiLevelType w:val="hybridMultilevel"/>
    <w:lvl w:ilvl="0">
      <w:lvlJc w:val="left"/>
      <w:lvlText w:val="%1."/>
      <w:numFmt w:val="decimal"/>
      <w:start w:val="3"/>
    </w:lvl>
    <w:lvl w:ilvl="1">
      <w:lvlJc w:val="left"/>
      <w:lvlText w:val="%2"/>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lvl w:ilvl="1">
      <w:lvlJc w:val="left"/>
      <w:lvlText w:val="(%2)"/>
      <w:numFmt w:val="decimal"/>
      <w:start w:val="1"/>
    </w:lvl>
  </w:abstractNum>
  <w:abstractNum w:abstractNumId="28">
    <w:nsid w:val="57E4CCAF"/>
    <w:multiLevelType w:val="hybridMultilevel"/>
    <w:lvl w:ilvl="0">
      <w:lvlJc w:val="left"/>
      <w:lvlText w:val="%1."/>
      <w:numFmt w:val="decimal"/>
      <w:start w:val="5"/>
    </w:lvl>
    <w:lvl w:ilvl="1">
      <w:lvlJc w:val="left"/>
      <w:lvlText w:val="%2"/>
      <w:numFmt w:val="decimal"/>
      <w:start w:val="1"/>
    </w:lvl>
  </w:abstractNum>
  <w:abstractNum w:abstractNumId="29">
    <w:nsid w:val="7A6D8D3C"/>
    <w:multiLevelType w:val="hybridMultilevel"/>
    <w:lvl w:ilvl="0">
      <w:lvlJc w:val="left"/>
      <w:lvlText w:val="%1."/>
      <w:numFmt w:val="decimal"/>
      <w:start w:val="7"/>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4"/>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9"/>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lvl w:ilvl="1">
      <w:lvlJc w:val="left"/>
      <w:lvlText w:val="(%2)"/>
      <w:numFmt w:val="decimal"/>
      <w:start w:val="1"/>
    </w:lvl>
  </w:abstractNum>
  <w:abstractNum w:abstractNumId="49">
    <w:nsid w:val="649BB77C"/>
    <w:multiLevelType w:val="hybridMultilevel"/>
    <w:lvl w:ilvl="0">
      <w:lvlJc w:val="left"/>
      <w:lvlText w:val="%1."/>
      <w:numFmt w:val="decimal"/>
      <w:start w:val="20"/>
    </w:lvl>
    <w:lvl w:ilvl="1">
      <w:lvlJc w:val="left"/>
      <w:lvlText w:val="%2"/>
      <w:numFmt w:val="decimal"/>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lowerRoman"/>
      <w:start w:val="1"/>
    </w:lvl>
  </w:abstractNum>
  <w:abstractNum w:abstractNumId="53">
    <w:nsid w:val="180115BE"/>
    <w:multiLevelType w:val="hybridMultilevel"/>
    <w:lvl w:ilvl="0">
      <w:lvlJc w:val="left"/>
      <w:lvlText w:val="(%1)"/>
      <w:numFmt w:val="lowerLetter"/>
      <w:start w:val="3"/>
    </w:lvl>
  </w:abstractNum>
  <w:abstractNum w:abstractNumId="54">
    <w:nsid w:val="235BA861"/>
    <w:multiLevelType w:val="hybridMultilevel"/>
    <w:lvl w:ilvl="0">
      <w:lvlJc w:val="left"/>
      <w:lvlText w:val="(%1)"/>
      <w:numFmt w:val="lowerLetter"/>
      <w:start w:val="4"/>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62"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44" Type="http://schemas.openxmlformats.org/officeDocument/2006/relationships/hyperlink" Target="https://www.sec.gov/Archives/edgar/data/1653558/000165355823000030/prth-20221231.htm" TargetMode="External"/><Relationship Id="rId149" Type="http://schemas.openxmlformats.org/officeDocument/2006/relationships/hyperlink" Target="https://www.sec.gov/Archives/edgar/data/1653558/000161577418006226/s111183_defm14a.htm" TargetMode="External"/><Relationship Id="rId150" Type="http://schemas.openxmlformats.org/officeDocument/2006/relationships/hyperlink" Target="https://www.sec.gov/Archives/edgar/data/1653558/000165355821000031/projectwarriorfinxera-merg.htm" TargetMode="External"/><Relationship Id="rId151" Type="http://schemas.openxmlformats.org/officeDocument/2006/relationships/hyperlink" Target="https://www.sec.gov/Archives/edgar/data/1653558/000165355821000060/annex1certificateofamendme.htm" TargetMode="External"/><Relationship Id="rId152" Type="http://schemas.openxmlformats.org/officeDocument/2006/relationships/hyperlink" Target="https://www.sec.gov/Archives/edgar/data/0001653558/000165355821000031/projectwarriorfinxera-merg.htm" TargetMode="External"/><Relationship Id="rId153" Type="http://schemas.openxmlformats.org/officeDocument/2006/relationships/hyperlink" Target="http://www.sec.gov/Archives/edgar/data/1653558/000161577418007231/s111606_ex3-1.htm" TargetMode="External"/><Relationship Id="rId154" Type="http://schemas.openxmlformats.org/officeDocument/2006/relationships/hyperlink" Target="http://www.sec.gov/Archives/edgar/data/1653558/000161577418007231/s111606_ex3-2.htm" TargetMode="External"/><Relationship Id="rId155" Type="http://schemas.openxmlformats.org/officeDocument/2006/relationships/hyperlink" Target="https://www.sec.gov/Archives/edgar/data/0001653558/000165355821000065/exhibit31-priorityxcertifi.htm" TargetMode="External"/><Relationship Id="rId156" Type="http://schemas.openxmlformats.org/officeDocument/2006/relationships/hyperlink" Target="http://www.sec.gov/Archives/edgar/data/1653558/000161577416006436/s103712_ex4-1.htm" TargetMode="External"/><Relationship Id="rId157" Type="http://schemas.openxmlformats.org/officeDocument/2006/relationships/hyperlink" Target="http://www.sec.gov/Archives/edgar/data/1653558/000161577416006436/s103712_ex4-2.htm" TargetMode="External"/><Relationship Id="rId158" Type="http://schemas.openxmlformats.org/officeDocument/2006/relationships/hyperlink" Target="http://www.sec.gov/Archives/edgar/data/1653558/000161577416006436/s103712_ex4-3.htm" TargetMode="External"/><Relationship Id="rId159" Type="http://schemas.openxmlformats.org/officeDocument/2006/relationships/hyperlink" Target="http://www.sec.gov/Archives/edgar/data/1653558/000161577416007233/s104127_ex4-1.htm" TargetMode="External"/><Relationship Id="rId160" Type="http://schemas.openxmlformats.org/officeDocument/2006/relationships/hyperlink" Target="https://www.sec.gov/Archives/edgar/data/1653558/000165355823000030/prioritytechnology-ex45.htm" TargetMode="External"/><Relationship Id="rId161" Type="http://schemas.openxmlformats.org/officeDocument/2006/relationships/hyperlink" Target="https://www.sec.gov/Archives/edgar/data/0001653558/000165355821000065/exhibit41-priorityxwarrant.htm" TargetMode="External"/><Relationship Id="rId163" Type="http://schemas.openxmlformats.org/officeDocument/2006/relationships/hyperlink" Target="http://www.sec.gov/Archives/edgar/data/1653558/000161577418007231/s111606_ex10-1.htm" TargetMode="External"/><Relationship Id="rId164" Type="http://schemas.openxmlformats.org/officeDocument/2006/relationships/hyperlink" Target="http://www.sec.gov/Archives/edgar/data/1653558/000161577418007231/s111606_ex10-2.htm" TargetMode="External"/><Relationship Id="rId165" Type="http://schemas.openxmlformats.org/officeDocument/2006/relationships/hyperlink" Target="https://www.sec.gov/Archives/edgar/data/0001653558/000165355821000101/ex1021prioritytechnologyq2.htm" TargetMode="External"/><Relationship Id="rId166" Type="http://schemas.openxmlformats.org/officeDocument/2006/relationships/hyperlink" Target="https://www.sec.gov/Archives/edgar/data/1653558/000165355822000028/prioritytechnology-ex1031x.htm" TargetMode="External"/><Relationship Id="rId167" Type="http://schemas.openxmlformats.org/officeDocument/2006/relationships/hyperlink" Target="https://www.sec.gov/Archives/edgar/data/0001653558/000165355821000065/exhibit103-prioritypayment.htm" TargetMode="External"/><Relationship Id="rId168" Type="http://schemas.openxmlformats.org/officeDocument/2006/relationships/hyperlink" Target="http://www.sec.gov/Archives/edgar/data/1653558/000161577418014981/s114881_ex10-6.htm" TargetMode="External"/><Relationship Id="rId169" Type="http://schemas.openxmlformats.org/officeDocument/2006/relationships/hyperlink" Target="http://www.sec.gov/Archives/edgar/data/1653558/000161577418014981/s114881_ex10-7.htm" TargetMode="External"/><Relationship Id="rId170" Type="http://schemas.openxmlformats.org/officeDocument/2006/relationships/hyperlink" Target="https://www.sec.gov/Archives/edgar/data/1653558/000165355823000030/prioritytechnology-ex107.htm" TargetMode="External"/><Relationship Id="rId171" Type="http://schemas.openxmlformats.org/officeDocument/2006/relationships/hyperlink" Target="https://www.sec.gov/Archives/edgar/data/1653558/000165355823000030/prioritytechnology-ex108.htm" TargetMode="External"/><Relationship Id="rId172" Type="http://schemas.openxmlformats.org/officeDocument/2006/relationships/hyperlink" Target="https://www.sec.gov/Archives/edgar/data/1653558/000165355822000064/ex1023formrestrictedstocku.htm" TargetMode="External"/><Relationship Id="rId173" Type="http://schemas.openxmlformats.org/officeDocument/2006/relationships/hyperlink" Target="http://www.sec.gov/Archives/edgar/data/1653558/000162828019003666/prioritytechnology-ex1019.htm" TargetMode="External"/><Relationship Id="rId174" Type="http://schemas.openxmlformats.org/officeDocument/2006/relationships/hyperlink" Target="https://www.sec.gov/Archives/edgar/data/1653558/000165355820000148/assetpurchaseagreement.htm" TargetMode="External"/><Relationship Id="rId175" Type="http://schemas.openxmlformats.org/officeDocument/2006/relationships/hyperlink" Target="https://www.sec.gov/Archives/edgar/data/0001653558/000165355821000031/exhibith-supportagreemente.htm" TargetMode="External"/><Relationship Id="rId176" Type="http://schemas.openxmlformats.org/officeDocument/2006/relationships/hyperlink" Target="https://www.sec.gov/Archives/edgar/data/0001653558/000165355821000031/priorityprojectwarrior-tru.htm" TargetMode="External"/><Relationship Id="rId177" Type="http://schemas.openxmlformats.org/officeDocument/2006/relationships/hyperlink" Target="https://www.sec.gov/Archives/edgar/data/0001653558/000165355821000031/priority-arespreferredcomm.htm" TargetMode="External"/><Relationship Id="rId178" Type="http://schemas.openxmlformats.org/officeDocument/2006/relationships/hyperlink" Target="https://www.sec.gov/Archives/edgar/data/0001653558/000165355821000065/exhibit101-priorityxpurcha.htm" TargetMode="External"/><Relationship Id="rId179" Type="http://schemas.openxmlformats.org/officeDocument/2006/relationships/hyperlink" Target="https://www.sec.gov/Archives/edgar/data/0001653558/000165355821000065/exhibit102-priorityxregist.htm" TargetMode="External"/><Relationship Id="rId180" Type="http://schemas.openxmlformats.org/officeDocument/2006/relationships/hyperlink" Target="https://www.sec.gov/Archives/edgar/data/0001653558/000165355821000114/prioritypayments-secondame.htm" TargetMode="External"/><Relationship Id="rId181" Type="http://schemas.openxmlformats.org/officeDocument/2006/relationships/hyperlink" Target="https://www.sec.gov/Archives/edgar/data/1653558/000165355823000078/a063023exhibit101vf.htm" TargetMode="External"/><Relationship Id="rId182" Type="http://schemas.openxmlformats.org/officeDocument/2006/relationships/hyperlink" Target="https://www.sec.gov/Archives/edgar/data/1653558/000165355823000123/exhibit1011.htm" TargetMode="External"/><Relationship Id="rId183" Type="http://schemas.openxmlformats.org/officeDocument/2006/relationships/hyperlink" Target="https://www.sec.gov/Archives/edgar/data/1653558/000165355823000056/ex1025priorityrecoupmentcl.htm" TargetMode="External"/><Relationship Id="rId184" Type="http://schemas.openxmlformats.org/officeDocument/2006/relationships/hyperlink" Target="https://www.sec.gov/Archives/edgar/data/1653558/000165355823000087/ex101projectbellamy-amen.htm" TargetMode="External"/><Relationship Id="rId185" Type="http://schemas.openxmlformats.org/officeDocument/2006/relationships/hyperlink" Target="https://www.sec.gov/Archives/edgar/data/1653558/000165355823000087/ex102priority-sideletter.htm" TargetMode="External"/><Relationship Id="rId186" Type="http://schemas.openxmlformats.org/officeDocument/2006/relationships/hyperlink" Target="https://www.sec.gov/Archives/edgar/data/1653558/000165355823000087/ex103projectbellamy-earnou.htm" TargetMode="External"/><Relationship Id="rId187" Type="http://schemas.openxmlformats.org/officeDocument/2006/relationships/hyperlink" Target="https://www.sec.gov/Archives/edgar/data/1653558/000165355823000100/ex1023priority-amendedandr.htm" TargetMode="External"/><Relationship Id="rId188" Type="http://schemas.openxmlformats.org/officeDocument/2006/relationships/hyperlink" Target="https://www.sec.gov/Archives/edgar/data/1653558/000165355823000140/ex1024kiewietprthsalesp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2024-03-12T07:45:36Z</dcterms:created>
  <dcterms:modified xsi:type="dcterms:W3CDTF">2024-03-12T07:45:36Z</dcterms:modified>
</cp:coreProperties>
</file>