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21365.xml.htm"/>
      <w:bookmarkStart w:id="1" w:name="kswkform4_179122136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Favilla Christina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PRIORITY TECHNOLOGY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 WESTSIDE PARKWAY, SUITE 155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ALPHARETTA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Priority Technology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PRTH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140,889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7.8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139,660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4,294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satisfy tax obligations.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February 5, 2026, the Reporting Person was granted 17,182 restricted stock units which vest 25% on April 1, 2026, 25% on July 1, 2026, 25% on October 1, 2026, and 25% on January 1, 2027 subject to the Reporting Person's continued service as a director of the Issuer.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J. Miller,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christinafavillapoa.htm"/>
      <w:bookmarkStart w:id="3" w:name="kschristinafavilla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11487" TargetMode="External"/><Relationship Id="rId5" Type="http://schemas.openxmlformats.org/officeDocument/2006/relationships/hyperlink" Target="http://www.sec.gov/cgi-bin/browse-edgar?action=getcompany&amp;CIK=00016535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668</Words>
  <Characters>3587</Characters>
  <CharactersWithSpaces>4167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christinafavillapoa</dc:title>
</cp:coreProperties>
</file>