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4020" w:right="1280" w:hanging="2616"/>
        <w:spacing w:after="0" w:line="292" w:lineRule="auto"/>
        <w:tabs>
          <w:tab w:leader="none" w:pos="161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2021</w:t>
      </w:r>
    </w:p>
    <w:p>
      <w:pPr>
        <w:spacing w:after="0" w:line="17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00" w:hanging="193"/>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08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40" w:type="dxa"/>
            <w:vAlign w:val="bottom"/>
          </w:tcPr>
          <w:p>
            <w:pPr>
              <w:spacing w:after="0"/>
              <w:rPr>
                <w:sz w:val="20"/>
                <w:szCs w:val="20"/>
                <w:color w:val="auto"/>
              </w:rPr>
            </w:pPr>
          </w:p>
        </w:tc>
        <w:tc>
          <w:tcPr>
            <w:tcW w:w="3680" w:type="dxa"/>
            <w:vAlign w:val="bottom"/>
            <w:tcBorders>
              <w:bottom w:val="single" w:sz="8" w:color="auto"/>
            </w:tcBorders>
          </w:tcPr>
          <w:p>
            <w:pPr>
              <w:jc w:val="right"/>
              <w:ind w:right="1333"/>
              <w:spacing w:after="0"/>
              <w:rPr>
                <w:sz w:val="20"/>
                <w:szCs w:val="20"/>
                <w:color w:val="auto"/>
              </w:rPr>
            </w:pPr>
            <w:r>
              <w:rPr>
                <w:rFonts w:ascii="Arial" w:cs="Arial" w:eastAsia="Arial" w:hAnsi="Arial"/>
                <w:sz w:val="18"/>
                <w:szCs w:val="18"/>
                <w:b w:val="1"/>
                <w:bCs w:val="1"/>
                <w:color w:val="auto"/>
              </w:rPr>
              <w:t>47-4257046</w:t>
            </w:r>
          </w:p>
        </w:tc>
      </w:tr>
      <w:tr>
        <w:trPr>
          <w:trHeight w:val="244"/>
        </w:trPr>
        <w:tc>
          <w:tcPr>
            <w:tcW w:w="4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27"/>
        </w:trPr>
        <w:tc>
          <w:tcPr>
            <w:tcW w:w="8660" w:type="dxa"/>
            <w:vAlign w:val="bottom"/>
            <w:gridSpan w:val="3"/>
          </w:tcPr>
          <w:p>
            <w:pPr>
              <w:jc w:val="right"/>
              <w:ind w:right="3393"/>
              <w:spacing w:after="0"/>
              <w:rPr>
                <w:sz w:val="20"/>
                <w:szCs w:val="20"/>
                <w:color w:val="auto"/>
              </w:rPr>
            </w:pPr>
            <w:r>
              <w:rPr>
                <w:rFonts w:ascii="Arial" w:cs="Arial" w:eastAsia="Arial" w:hAnsi="Arial"/>
                <w:sz w:val="18"/>
                <w:szCs w:val="18"/>
                <w:b w:val="1"/>
                <w:bCs w:val="1"/>
                <w:color w:val="auto"/>
              </w:rPr>
              <w:t>2001 Westside Parkway</w:t>
            </w:r>
          </w:p>
        </w:tc>
      </w:tr>
      <w:tr>
        <w:trPr>
          <w:trHeight w:val="257"/>
        </w:trPr>
        <w:tc>
          <w:tcPr>
            <w:tcW w:w="4980" w:type="dxa"/>
            <w:vAlign w:val="bottom"/>
            <w:gridSpan w:val="2"/>
          </w:tcPr>
          <w:p>
            <w:pPr>
              <w:ind w:left="4020"/>
              <w:spacing w:after="0"/>
              <w:rPr>
                <w:sz w:val="20"/>
                <w:szCs w:val="20"/>
                <w:color w:val="auto"/>
              </w:rPr>
            </w:pPr>
            <w:r>
              <w:rPr>
                <w:rFonts w:ascii="Arial" w:cs="Arial" w:eastAsia="Arial" w:hAnsi="Arial"/>
                <w:sz w:val="18"/>
                <w:szCs w:val="18"/>
                <w:b w:val="1"/>
                <w:bCs w:val="1"/>
                <w:color w:val="auto"/>
              </w:rPr>
              <w:t>Suite 155</w:t>
            </w:r>
          </w:p>
        </w:tc>
        <w:tc>
          <w:tcPr>
            <w:tcW w:w="3680" w:type="dxa"/>
            <w:vAlign w:val="bottom"/>
          </w:tcPr>
          <w:p>
            <w:pPr>
              <w:spacing w:after="0"/>
              <w:rPr>
                <w:sz w:val="22"/>
                <w:szCs w:val="22"/>
                <w:color w:val="auto"/>
              </w:rPr>
            </w:pPr>
          </w:p>
        </w:tc>
      </w:tr>
      <w:tr>
        <w:trPr>
          <w:trHeight w:val="256"/>
        </w:trPr>
        <w:tc>
          <w:tcPr>
            <w:tcW w:w="4980" w:type="dxa"/>
            <w:vAlign w:val="bottom"/>
            <w:tcBorders>
              <w:bottom w:val="single" w:sz="8" w:color="auto"/>
            </w:tcBorders>
            <w:gridSpan w:val="2"/>
          </w:tcPr>
          <w:p>
            <w:pPr>
              <w:ind w:left="3040"/>
              <w:spacing w:after="0"/>
              <w:rPr>
                <w:sz w:val="20"/>
                <w:szCs w:val="20"/>
                <w:color w:val="auto"/>
              </w:rPr>
            </w:pPr>
            <w:r>
              <w:rPr>
                <w:rFonts w:ascii="Arial" w:cs="Arial" w:eastAsia="Arial" w:hAnsi="Arial"/>
                <w:sz w:val="18"/>
                <w:szCs w:val="18"/>
                <w:b w:val="1"/>
                <w:bCs w:val="1"/>
                <w:color w:val="auto"/>
              </w:rPr>
              <w:t>Alpharetta,  GA</w:t>
            </w:r>
          </w:p>
        </w:tc>
        <w:tc>
          <w:tcPr>
            <w:tcW w:w="3680" w:type="dxa"/>
            <w:vAlign w:val="bottom"/>
            <w:tcBorders>
              <w:bottom w:val="single" w:sz="8" w:color="auto"/>
            </w:tcBorders>
          </w:tcPr>
          <w:p>
            <w:pPr>
              <w:jc w:val="right"/>
              <w:ind w:right="3133"/>
              <w:spacing w:after="0"/>
              <w:rPr>
                <w:sz w:val="20"/>
                <w:szCs w:val="20"/>
                <w:color w:val="auto"/>
              </w:rPr>
            </w:pPr>
            <w:r>
              <w:rPr>
                <w:rFonts w:ascii="Arial" w:cs="Arial" w:eastAsia="Arial" w:hAnsi="Arial"/>
                <w:sz w:val="18"/>
                <w:szCs w:val="18"/>
                <w:b w:val="1"/>
                <w:bCs w:val="1"/>
                <w:color w:val="auto"/>
                <w:w w:val="87"/>
              </w:rPr>
              <w:t>30004</w:t>
            </w:r>
          </w:p>
        </w:tc>
      </w:tr>
    </w:tbl>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284" w:lineRule="exact"/>
        <w:rPr>
          <w:sz w:val="24"/>
          <w:szCs w:val="24"/>
          <w:color w:val="auto"/>
        </w:rPr>
      </w:pPr>
    </w:p>
    <w:p>
      <w:pPr>
        <w:ind w:left="6300" w:hanging="1630"/>
        <w:spacing w:after="0"/>
        <w:tabs>
          <w:tab w:leader="none" w:pos="6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390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-150495</wp:posOffset>
            </wp:positionV>
            <wp:extent cx="5503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819150</wp:posOffset>
            </wp:positionH>
            <wp:positionV relativeFrom="paragraph">
              <wp:posOffset>14605</wp:posOffset>
            </wp:positionV>
            <wp:extent cx="55035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89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Borders>
              <w:top w:val="single" w:sz="8" w:color="auto"/>
              <w:right w:val="single" w:sz="8" w:color="auto"/>
            </w:tcBorders>
          </w:tcPr>
          <w:p>
            <w:pPr>
              <w:spacing w:after="0"/>
              <w:rPr>
                <w:sz w:val="21"/>
                <w:szCs w:val="21"/>
                <w:color w:val="auto"/>
              </w:rPr>
            </w:pP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00" w:type="dxa"/>
            <w:vAlign w:val="bottom"/>
            <w:tcBorders>
              <w:top w:val="single" w:sz="8" w:color="auto"/>
              <w:right w:val="single" w:sz="8" w:color="auto"/>
            </w:tcBorders>
          </w:tcPr>
          <w:p>
            <w:pPr>
              <w:spacing w:after="0"/>
              <w:rPr>
                <w:sz w:val="21"/>
                <w:szCs w:val="21"/>
                <w:color w:val="auto"/>
              </w:rPr>
            </w:pP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3"/>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00" w:type="dxa"/>
            <w:vAlign w:val="bottom"/>
            <w:tcBorders>
              <w:bottom w:val="single" w:sz="8" w:color="auto"/>
              <w:right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10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31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1060"/>
              <w:spacing w:after="0"/>
              <w:rPr>
                <w:sz w:val="20"/>
                <w:szCs w:val="20"/>
                <w:color w:val="auto"/>
              </w:rPr>
            </w:pPr>
            <w:r>
              <w:rPr>
                <w:rFonts w:ascii="Arial" w:cs="Arial" w:eastAsia="Arial" w:hAnsi="Arial"/>
                <w:sz w:val="18"/>
                <w:szCs w:val="18"/>
                <w:color w:val="auto"/>
                <w:w w:val="97"/>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80" w:type="dxa"/>
            <w:vAlign w:val="bottom"/>
          </w:tcPr>
          <w:p>
            <w:pPr>
              <w:ind w:left="1060"/>
              <w:spacing w:after="0"/>
              <w:rPr>
                <w:sz w:val="20"/>
                <w:szCs w:val="20"/>
                <w:color w:val="auto"/>
              </w:rPr>
            </w:pPr>
            <w:r>
              <w:rPr>
                <w:rFonts w:ascii="Arial" w:cs="Arial" w:eastAsia="Arial" w:hAnsi="Arial"/>
                <w:sz w:val="18"/>
                <w:szCs w:val="18"/>
                <w:color w:val="auto"/>
                <w:w w:val="98"/>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6"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6"/>
          <w:szCs w:val="16"/>
          <w:color w:val="auto"/>
        </w:rPr>
        <w:t>As of May 7, 2021, a total of 68,103,122 shares of common stock, par value $0.001 per share, were issued and 67,651,898 shares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7" w:right="459" w:bottom="104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80" w:type="dxa"/>
            <w:vAlign w:val="bottom"/>
            <w:gridSpan w:val="8"/>
          </w:tcPr>
          <w:p>
            <w:pPr>
              <w:ind w:left="140"/>
              <w:spacing w:after="0"/>
              <w:rPr>
                <w:sz w:val="20"/>
                <w:szCs w:val="20"/>
                <w:color w:val="auto"/>
              </w:rPr>
            </w:pPr>
            <w:r>
              <w:rPr>
                <w:rFonts w:ascii="Arial" w:cs="Arial" w:eastAsia="Arial" w:hAnsi="Arial"/>
                <w:sz w:val="18"/>
                <w:szCs w:val="18"/>
                <w:b w:val="1"/>
                <w:bCs w:val="1"/>
                <w:color w:val="auto"/>
              </w:rPr>
              <w:t>Priority Technology Holdings, Inc.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8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3"/>
              </w:rPr>
              <w:t>Quarterly Report on Form 10-Q</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8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3"/>
              </w:rPr>
              <w:t>March 31, 2021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7"/>
          </w:tcPr>
          <w:p>
            <w:pPr>
              <w:ind w:left="340"/>
              <w:spacing w:after="0"/>
              <w:rPr>
                <w:sz w:val="20"/>
                <w:szCs w:val="20"/>
                <w:color w:val="auto"/>
              </w:rPr>
            </w:pPr>
            <w:r>
              <w:rPr>
                <w:rFonts w:ascii="Arial" w:cs="Arial" w:eastAsia="Arial" w:hAnsi="Arial"/>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9400" w:type="dxa"/>
            <w:vAlign w:val="bottom"/>
            <w:gridSpan w:val="20"/>
          </w:tcPr>
          <w:p>
            <w:pPr>
              <w:ind w:left="20"/>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340" w:type="dxa"/>
            <w:vAlign w:val="bottom"/>
          </w:tcPr>
          <w:p>
            <w:pPr>
              <w:spacing w:after="0"/>
              <w:rPr>
                <w:sz w:val="24"/>
                <w:szCs w:val="24"/>
                <w:color w:val="auto"/>
              </w:rPr>
            </w:pPr>
          </w:p>
        </w:tc>
        <w:tc>
          <w:tcPr>
            <w:tcW w:w="280" w:type="dxa"/>
            <w:vAlign w:val="bottom"/>
            <w:tcBorders>
              <w:top w:val="single" w:sz="8" w:color="auto"/>
            </w:tcBorders>
            <w:gridSpan w:val="4"/>
          </w:tcPr>
          <w:p>
            <w:pPr>
              <w:jc w:val="center"/>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480" w:type="dxa"/>
            <w:vAlign w:val="bottom"/>
            <w:gridSpan w:val="2"/>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Statements</w:t>
              </w:r>
            </w:hyperlink>
          </w:p>
        </w:tc>
        <w:tc>
          <w:tcPr>
            <w:tcW w:w="620" w:type="dxa"/>
            <w:vAlign w:val="bottom"/>
            <w:gridSpan w:val="5"/>
          </w:tcPr>
          <w:p>
            <w:pPr>
              <w:jc w:val="center"/>
              <w:ind w:left="3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Unaudited Condensed Consolidated Balance Sheets as of March </w:t>
              </w:r>
            </w:hyperlink>
            <w:r>
              <w:rPr>
                <w:rFonts w:ascii="Arial" w:cs="Arial" w:eastAsia="Arial" w:hAnsi="Arial"/>
                <w:sz w:val="18"/>
                <w:szCs w:val="18"/>
                <w:color w:val="0000FF"/>
              </w:rPr>
              <w:t xml:space="preserve">31, </w:t>
            </w:r>
            <w:hyperlink w:anchor="page3">
              <w:r>
                <w:rPr>
                  <w:rFonts w:ascii="Arial" w:cs="Arial" w:eastAsia="Arial" w:hAnsi="Arial"/>
                  <w:sz w:val="18"/>
                  <w:szCs w:val="18"/>
                  <w:color w:val="0000FF"/>
                </w:rPr>
                <w:t>2021 and December 31, 2020</w:t>
              </w:r>
            </w:hyperlink>
          </w:p>
        </w:tc>
        <w:tc>
          <w:tcPr>
            <w:tcW w:w="620" w:type="dxa"/>
            <w:vAlign w:val="bottom"/>
            <w:gridSpan w:val="5"/>
          </w:tcPr>
          <w:p>
            <w:pPr>
              <w:jc w:val="center"/>
              <w:ind w:left="3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 xml:space="preserve">Unaudited Condensed Consolidated Statements of Operations for the Three Months Ended March </w:t>
              </w:r>
            </w:hyperlink>
            <w:r>
              <w:rPr>
                <w:rFonts w:ascii="Arial" w:cs="Arial" w:eastAsia="Arial" w:hAnsi="Arial"/>
                <w:sz w:val="18"/>
                <w:szCs w:val="18"/>
                <w:color w:val="0000FF"/>
                <w:w w:val="93"/>
              </w:rPr>
              <w:t xml:space="preserve">31, </w:t>
            </w:r>
            <w:hyperlink w:anchor="page3">
              <w:r>
                <w:rPr>
                  <w:rFonts w:ascii="Arial" w:cs="Arial" w:eastAsia="Arial" w:hAnsi="Arial"/>
                  <w:sz w:val="18"/>
                  <w:szCs w:val="18"/>
                  <w:color w:val="0000FF"/>
                  <w:w w:val="93"/>
                </w:rPr>
                <w:t>2021 and</w:t>
              </w:r>
            </w:hyperlink>
          </w:p>
        </w:tc>
        <w:tc>
          <w:tcPr>
            <w:tcW w:w="620" w:type="dxa"/>
            <w:vAlign w:val="bottom"/>
            <w:gridSpan w:val="5"/>
          </w:tcPr>
          <w:p>
            <w:pPr>
              <w:jc w:val="center"/>
              <w:ind w:left="33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March </w:t>
              </w:r>
            </w:hyperlink>
            <w:r>
              <w:rPr>
                <w:rFonts w:ascii="Arial" w:cs="Arial" w:eastAsia="Arial" w:hAnsi="Arial"/>
                <w:sz w:val="18"/>
                <w:szCs w:val="18"/>
                <w:color w:val="0000FF"/>
                <w:w w:val="89"/>
              </w:rPr>
              <w:t>31, 2020</w:t>
            </w:r>
          </w:p>
        </w:tc>
        <w:tc>
          <w:tcPr>
            <w:tcW w:w="688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 xml:space="preserve">Unaudited Condensed Consolidated Statements of Cash Flows for the Three Months Ended March </w:t>
              </w:r>
            </w:hyperlink>
            <w:r>
              <w:rPr>
                <w:rFonts w:ascii="Arial" w:cs="Arial" w:eastAsia="Arial" w:hAnsi="Arial"/>
                <w:sz w:val="18"/>
                <w:szCs w:val="18"/>
                <w:color w:val="0000FF"/>
                <w:w w:val="93"/>
              </w:rPr>
              <w:t xml:space="preserve">31, </w:t>
            </w:r>
            <w:hyperlink w:anchor="page4">
              <w:r>
                <w:rPr>
                  <w:rFonts w:ascii="Arial" w:cs="Arial" w:eastAsia="Arial" w:hAnsi="Arial"/>
                  <w:sz w:val="18"/>
                  <w:szCs w:val="18"/>
                  <w:color w:val="0000FF"/>
                  <w:w w:val="93"/>
                </w:rPr>
                <w:t>2021 and</w:t>
              </w:r>
            </w:hyperlink>
          </w:p>
        </w:tc>
        <w:tc>
          <w:tcPr>
            <w:tcW w:w="620" w:type="dxa"/>
            <w:vAlign w:val="bottom"/>
            <w:gridSpan w:val="5"/>
          </w:tcPr>
          <w:p>
            <w:pPr>
              <w:jc w:val="center"/>
              <w:ind w:left="33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March </w:t>
              </w:r>
            </w:hyperlink>
            <w:r>
              <w:rPr>
                <w:rFonts w:ascii="Arial" w:cs="Arial" w:eastAsia="Arial" w:hAnsi="Arial"/>
                <w:sz w:val="18"/>
                <w:szCs w:val="18"/>
                <w:color w:val="0000FF"/>
                <w:w w:val="89"/>
              </w:rPr>
              <w:t>31, 2020</w:t>
            </w:r>
          </w:p>
        </w:tc>
        <w:tc>
          <w:tcPr>
            <w:tcW w:w="6940" w:type="dxa"/>
            <w:vAlign w:val="bottom"/>
            <w:tcBorders>
              <w:top w:val="single" w:sz="8" w:color="0000FF"/>
            </w:tcBorders>
            <w:gridSpan w:val="11"/>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Unaudited Condensed Consolidated Financial Statements</w:t>
              </w:r>
            </w:hyperlink>
          </w:p>
        </w:tc>
        <w:tc>
          <w:tcPr>
            <w:tcW w:w="620" w:type="dxa"/>
            <w:vAlign w:val="bottom"/>
            <w:gridSpan w:val="5"/>
          </w:tcPr>
          <w:p>
            <w:pPr>
              <w:jc w:val="center"/>
              <w:ind w:left="33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Item 2.</w:t>
              </w:r>
            </w:hyperlink>
          </w:p>
        </w:tc>
        <w:tc>
          <w:tcPr>
            <w:tcW w:w="480" w:type="dxa"/>
            <w:vAlign w:val="bottom"/>
            <w:gridSpan w:val="2"/>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Item 3.</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Item 4.</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39</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Part II.</w:t>
              </w:r>
            </w:hyperlink>
          </w:p>
        </w:tc>
        <w:tc>
          <w:tcPr>
            <w:tcW w:w="9400" w:type="dxa"/>
            <w:vAlign w:val="bottom"/>
            <w:gridSpan w:val="20"/>
          </w:tcPr>
          <w:p>
            <w:pPr>
              <w:ind w:left="20"/>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Item 1.</w:t>
              </w:r>
            </w:hyperlink>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20"/>
              <w:spacing w:after="0"/>
              <w:rPr>
                <w:rFonts w:ascii="Arial" w:cs="Arial" w:eastAsia="Arial" w:hAnsi="Arial"/>
                <w:sz w:val="18"/>
                <w:szCs w:val="18"/>
                <w:color w:val="0000FF"/>
              </w:rPr>
            </w:pPr>
            <w:hyperlink w:anchor="page42">
              <w:r>
                <w:rPr>
                  <w:rFonts w:ascii="Arial" w:cs="Arial" w:eastAsia="Arial" w:hAnsi="Arial"/>
                  <w:sz w:val="18"/>
                  <w:szCs w:val="18"/>
                  <w:color w:val="0000FF"/>
                </w:rPr>
                <w:t>Item 1A.</w:t>
              </w:r>
            </w:hyperlink>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Item 2.</w:t>
              </w:r>
            </w:hyperlink>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Unregistered Sales of Equity Securities and Use of Proceeds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Item 3.</w:t>
              </w:r>
            </w:hyperlink>
          </w:p>
        </w:tc>
        <w:tc>
          <w:tcPr>
            <w:tcW w:w="480" w:type="dxa"/>
            <w:vAlign w:val="bottom"/>
            <w:gridSpan w:val="2"/>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Defaults Upon Senior Securities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80" w:type="dxa"/>
            <w:vAlign w:val="bottom"/>
            <w:gridSpan w:val="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Item 4.</w:t>
              </w:r>
            </w:hyperlink>
          </w:p>
        </w:tc>
        <w:tc>
          <w:tcPr>
            <w:tcW w:w="480" w:type="dxa"/>
            <w:vAlign w:val="bottom"/>
            <w:gridSpan w:val="2"/>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Mine Safety Disclosures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Item 5.</w:t>
              </w:r>
            </w:hyperlink>
          </w:p>
        </w:tc>
        <w:tc>
          <w:tcPr>
            <w:tcW w:w="480" w:type="dxa"/>
            <w:vAlign w:val="bottom"/>
            <w:gridSpan w:val="2"/>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ind w:left="20"/>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Item 6.</w:t>
              </w:r>
            </w:hyperlink>
          </w:p>
        </w:tc>
        <w:tc>
          <w:tcPr>
            <w:tcW w:w="480" w:type="dxa"/>
            <w:vAlign w:val="bottom"/>
            <w:gridSpan w:val="2"/>
          </w:tcPr>
          <w:p>
            <w:pPr>
              <w:spacing w:after="0"/>
              <w:rPr>
                <w:sz w:val="24"/>
                <w:szCs w:val="24"/>
                <w:color w:val="auto"/>
              </w:rPr>
            </w:pPr>
          </w:p>
        </w:tc>
        <w:tc>
          <w:tcPr>
            <w:tcW w:w="8400" w:type="dxa"/>
            <w:vAlign w:val="bottom"/>
            <w:gridSpan w:val="1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700" w:type="dxa"/>
            <w:vAlign w:val="bottom"/>
            <w:gridSpan w:val="6"/>
          </w:tcPr>
          <w:p>
            <w:pPr>
              <w:jc w:val="center"/>
              <w:ind w:left="2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2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 w:type="dxa"/>
            <w:vAlign w:val="bottom"/>
            <w:gridSpan w:val="3"/>
          </w:tcPr>
          <w:p>
            <w:pPr>
              <w:spacing w:after="0"/>
              <w:rPr>
                <w:rFonts w:ascii="Arial" w:cs="Arial" w:eastAsia="Arial" w:hAnsi="Arial"/>
                <w:sz w:val="18"/>
                <w:szCs w:val="18"/>
                <w:color w:val="0000FF"/>
                <w:w w:val="97"/>
              </w:rPr>
            </w:pPr>
            <w:hyperlink w:anchor="page43">
              <w:r>
                <w:rPr>
                  <w:rFonts w:ascii="Arial" w:cs="Arial" w:eastAsia="Arial" w:hAnsi="Arial"/>
                  <w:sz w:val="18"/>
                  <w:szCs w:val="18"/>
                  <w:color w:val="0000FF"/>
                  <w:w w:val="97"/>
                </w:rPr>
                <w:t>Signatures</w:t>
              </w:r>
            </w:hyperlink>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6"/>
          </w:tcPr>
          <w:p>
            <w:pPr>
              <w:jc w:val="center"/>
              <w:ind w:left="27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260" w:type="dxa"/>
            <w:vAlign w:val="bottom"/>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i w:val="1"/>
                <w:iCs w:val="1"/>
                <w:color w:val="auto"/>
                <w:w w:val="92"/>
              </w:rPr>
              <w:t>Unaudited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 2021</w:t>
            </w:r>
          </w:p>
        </w:tc>
        <w:tc>
          <w:tcPr>
            <w:tcW w:w="180" w:type="dxa"/>
            <w:vAlign w:val="bottom"/>
          </w:tcPr>
          <w:p>
            <w:pPr>
              <w:spacing w:after="0"/>
              <w:rPr>
                <w:sz w:val="19"/>
                <w:szCs w:val="19"/>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58,933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78,879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 of $374 and $574</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41,321</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notes receivable, net of allowance of $467 and $467</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135,884</w:t>
            </w:r>
          </w:p>
        </w:tc>
        <w:tc>
          <w:tcPr>
            <w:tcW w:w="0" w:type="dxa"/>
            <w:vAlign w:val="bottom"/>
          </w:tcPr>
          <w:p>
            <w:pPr>
              <w:spacing w:after="0"/>
              <w:rPr>
                <w:sz w:val="1"/>
                <w:szCs w:val="1"/>
                <w:color w:val="auto"/>
              </w:rPr>
            </w:pPr>
          </w:p>
        </w:tc>
      </w:tr>
      <w:tr>
        <w:trPr>
          <w:trHeight w:val="108"/>
        </w:trPr>
        <w:tc>
          <w:tcPr>
            <w:tcW w:w="7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less current portion</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22,875</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91,062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98,057</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29,821</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Accrued residual commissions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23,824</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deposits and advance payments</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148,848</w:t>
            </w:r>
          </w:p>
        </w:tc>
        <w:tc>
          <w:tcPr>
            <w:tcW w:w="0" w:type="dxa"/>
            <w:vAlign w:val="bottom"/>
          </w:tcPr>
          <w:p>
            <w:pPr>
              <w:spacing w:after="0"/>
              <w:rPr>
                <w:sz w:val="1"/>
                <w:szCs w:val="1"/>
                <w:color w:val="auto"/>
              </w:rPr>
            </w:pPr>
          </w:p>
        </w:tc>
      </w:tr>
      <w:tr>
        <w:trPr>
          <w:trHeight w:val="142"/>
        </w:trPr>
        <w:tc>
          <w:tcPr>
            <w:tcW w:w="7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350,667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367,545</w:t>
            </w:r>
          </w:p>
        </w:tc>
        <w:tc>
          <w:tcPr>
            <w:tcW w:w="0" w:type="dxa"/>
            <w:vAlign w:val="bottom"/>
          </w:tcPr>
          <w:p>
            <w:pPr>
              <w:spacing w:after="0"/>
              <w:rPr>
                <w:sz w:val="1"/>
                <w:szCs w:val="1"/>
                <w:color w:val="auto"/>
              </w:rPr>
            </w:pPr>
          </w:p>
        </w:tc>
      </w:tr>
      <w:tr>
        <w:trPr>
          <w:trHeight w:val="88"/>
        </w:trPr>
        <w:tc>
          <w:tcPr>
            <w:tcW w:w="7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516,393</w:t>
            </w:r>
          </w:p>
        </w:tc>
        <w:tc>
          <w:tcPr>
            <w:tcW w:w="0" w:type="dxa"/>
            <w:vAlign w:val="bottom"/>
          </w:tcPr>
          <w:p>
            <w:pPr>
              <w:spacing w:after="0"/>
              <w:rPr>
                <w:sz w:val="1"/>
                <w:szCs w:val="1"/>
                <w:color w:val="auto"/>
              </w:rPr>
            </w:pPr>
          </w:p>
        </w:tc>
      </w:tr>
      <w:tr>
        <w:trPr>
          <w:trHeight w:val="142"/>
        </w:trPr>
        <w:tc>
          <w:tcPr>
            <w:tcW w:w="7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Preferred stock - $0.001 par value per share; 100,000,000 shares authorized; zero issued or</w:t>
            </w:r>
          </w:p>
        </w:tc>
        <w:tc>
          <w:tcPr>
            <w:tcW w:w="24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19"/>
                <w:szCs w:val="19"/>
                <w:color w:val="auto"/>
              </w:rPr>
            </w:pPr>
          </w:p>
        </w:tc>
        <w:tc>
          <w:tcPr>
            <w:tcW w:w="18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 - $0.001 par value per share; 1,000,000,000 shares authorized; 68,091,398 and</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140"/>
              <w:spacing w:after="0" w:line="176" w:lineRule="exact"/>
              <w:rPr>
                <w:sz w:val="20"/>
                <w:szCs w:val="20"/>
                <w:color w:val="auto"/>
              </w:rPr>
            </w:pPr>
            <w:r>
              <w:rPr>
                <w:rFonts w:ascii="Arial" w:cs="Arial" w:eastAsia="Arial" w:hAnsi="Arial"/>
                <w:sz w:val="18"/>
                <w:szCs w:val="18"/>
                <w:color w:val="auto"/>
              </w:rPr>
              <w:t>67,842,204 shares issued, respectively; 67,640,174 and 67,390,980 shares outstanding,</w:t>
            </w:r>
          </w:p>
        </w:tc>
        <w:tc>
          <w:tcPr>
            <w:tcW w:w="2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8"/>
                <w:szCs w:val="18"/>
                <w:color w:val="auto"/>
              </w:rPr>
              <w:t>Treasury stock, 451,224 common shares, at cost</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(102,013)</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stockholders'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417,829</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4"/>
        </w:trPr>
        <w:tc>
          <w:tcPr>
            <w:tcW w:w="128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4560" w:type="dxa"/>
            <w:vAlign w:val="bottom"/>
            <w:gridSpan w:val="2"/>
          </w:tcPr>
          <w:p>
            <w:pPr>
              <w:jc w:val="center"/>
              <w:ind w:right="590"/>
              <w:spacing w:after="0"/>
              <w:rPr>
                <w:sz w:val="20"/>
                <w:szCs w:val="20"/>
                <w:color w:val="auto"/>
              </w:rPr>
            </w:pPr>
            <w:r>
              <w:rPr>
                <w:rFonts w:ascii="Arial" w:cs="Arial" w:eastAsia="Arial" w:hAnsi="Arial"/>
                <w:sz w:val="18"/>
                <w:szCs w:val="18"/>
                <w:b w:val="1"/>
                <w:bCs w:val="1"/>
                <w:color w:val="auto"/>
                <w:w w:val="90"/>
              </w:rPr>
              <w:t>Priority Technology Holdings, Inc.</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560" w:type="dxa"/>
            <w:vAlign w:val="bottom"/>
            <w:gridSpan w:val="2"/>
          </w:tcPr>
          <w:p>
            <w:pPr>
              <w:jc w:val="center"/>
              <w:ind w:right="57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560" w:type="dxa"/>
            <w:vAlign w:val="bottom"/>
            <w:gridSpan w:val="2"/>
          </w:tcPr>
          <w:p>
            <w:pPr>
              <w:jc w:val="center"/>
              <w:ind w:right="570"/>
              <w:spacing w:after="0"/>
              <w:rPr>
                <w:sz w:val="20"/>
                <w:szCs w:val="20"/>
                <w:color w:val="auto"/>
              </w:rPr>
            </w:pPr>
            <w:r>
              <w:rPr>
                <w:rFonts w:ascii="Arial" w:cs="Arial" w:eastAsia="Arial" w:hAnsi="Arial"/>
                <w:sz w:val="18"/>
                <w:szCs w:val="18"/>
                <w:b w:val="1"/>
                <w:bCs w:val="1"/>
                <w:i w:val="1"/>
                <w:iCs w:val="1"/>
                <w:color w:val="auto"/>
                <w:w w:val="88"/>
              </w:rPr>
              <w:t>Unaudited</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gridSpan w:val="2"/>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4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3000" w:type="dxa"/>
            <w:vAlign w:val="bottom"/>
            <w:tcBorders>
              <w:bottom w:val="single" w:sz="8" w:color="auto"/>
            </w:tcBorders>
            <w:gridSpan w:val="4"/>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4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Costs of services</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81,863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66,364</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Salary and employee benefits</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0" w:type="dxa"/>
            <w:vAlign w:val="bottom"/>
          </w:tcPr>
          <w:p>
            <w:pPr>
              <w:spacing w:after="0"/>
              <w:rPr>
                <w:sz w:val="1"/>
                <w:szCs w:val="1"/>
                <w:color w:val="auto"/>
              </w:rPr>
            </w:pPr>
          </w:p>
        </w:tc>
      </w:tr>
      <w:tr>
        <w:trPr>
          <w:trHeight w:val="230"/>
        </w:trPr>
        <w:tc>
          <w:tcPr>
            <w:tcW w:w="36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4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4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93,374</w:t>
            </w:r>
          </w:p>
        </w:tc>
        <w:tc>
          <w:tcPr>
            <w:tcW w:w="0" w:type="dxa"/>
            <w:vAlign w:val="bottom"/>
          </w:tcPr>
          <w:p>
            <w:pPr>
              <w:spacing w:after="0"/>
              <w:rPr>
                <w:sz w:val="1"/>
                <w:szCs w:val="1"/>
                <w:color w:val="auto"/>
              </w:rPr>
            </w:pPr>
          </w:p>
        </w:tc>
      </w:tr>
      <w:tr>
        <w:trPr>
          <w:trHeight w:val="88"/>
        </w:trPr>
        <w:tc>
          <w:tcPr>
            <w:tcW w:w="1280" w:type="dxa"/>
            <w:vAlign w:val="bottom"/>
            <w:shd w:val="clear" w:color="auto" w:fill="CCEEFF"/>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43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b w:val="1"/>
                <w:bCs w:val="1"/>
                <w:color w:val="auto"/>
              </w:rPr>
              <w:t>Income from operations</w:t>
            </w:r>
          </w:p>
        </w:tc>
        <w:tc>
          <w:tcPr>
            <w:tcW w:w="4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0" w:type="dxa"/>
            <w:vAlign w:val="bottom"/>
          </w:tcPr>
          <w:p>
            <w:pPr>
              <w:spacing w:after="0"/>
              <w:rPr>
                <w:sz w:val="1"/>
                <w:szCs w:val="1"/>
                <w:color w:val="auto"/>
              </w:rPr>
            </w:pPr>
          </w:p>
        </w:tc>
      </w:tr>
      <w:tr>
        <w:trPr>
          <w:trHeight w:val="142"/>
        </w:trPr>
        <w:tc>
          <w:tcPr>
            <w:tcW w:w="128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EXPENSES:</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expenses, net</w:t>
            </w:r>
          </w:p>
        </w:tc>
        <w:tc>
          <w:tcPr>
            <w:tcW w:w="4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other expenses, net</w:t>
            </w:r>
          </w:p>
        </w:tc>
        <w:tc>
          <w:tcPr>
            <w:tcW w:w="4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88"/>
        </w:trPr>
        <w:tc>
          <w:tcPr>
            <w:tcW w:w="12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4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32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20" w:type="dxa"/>
            <w:vAlign w:val="bottom"/>
            <w:shd w:val="clear" w:color="auto" w:fill="CCEEFF"/>
          </w:tcPr>
          <w:p>
            <w:pPr>
              <w:spacing w:after="0"/>
              <w:rPr>
                <w:sz w:val="20"/>
                <w:szCs w:val="20"/>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184"/>
        </w:trPr>
        <w:tc>
          <w:tcPr>
            <w:tcW w:w="128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43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4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4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08"/>
        </w:trPr>
        <w:tc>
          <w:tcPr>
            <w:tcW w:w="3680" w:type="dxa"/>
            <w:vAlign w:val="bottom"/>
            <w:gridSpan w:val="2"/>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8"/>
              </w:rPr>
              <w:t>Weighted-average common shares outstanding:</w:t>
            </w:r>
          </w:p>
        </w:tc>
        <w:tc>
          <w:tcPr>
            <w:tcW w:w="4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ind w:left="220"/>
              <w:spacing w:after="0"/>
              <w:rPr>
                <w:sz w:val="20"/>
                <w:szCs w:val="20"/>
                <w:color w:val="auto"/>
              </w:rPr>
            </w:pPr>
            <w:r>
              <w:rPr>
                <w:rFonts w:ascii="Arial" w:cs="Arial" w:eastAsia="Arial" w:hAnsi="Arial"/>
                <w:sz w:val="18"/>
                <w:szCs w:val="18"/>
                <w:color w:val="auto"/>
              </w:rPr>
              <w:t>Basic and diluted</w:t>
            </w: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67,543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67,061</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auto"/>
            </w:tcBorders>
            <w:gridSpan w:val="4"/>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(5,869)</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 and amortization of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10,272</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Equity-classified and liability-classified stock-based compensation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allowance for deferred tax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Payment-in-kind interest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Other non-cash items,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Settlement assets and obligations, net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Notes receivable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r>
      <w:tr>
        <w:trPr>
          <w:trHeight w:val="229"/>
        </w:trPr>
        <w:tc>
          <w:tcPr>
            <w:tcW w:w="7820" w:type="dxa"/>
            <w:vAlign w:val="bottom"/>
          </w:tcPr>
          <w:p>
            <w:pPr>
              <w:ind w:left="240"/>
              <w:spacing w:after="0"/>
              <w:rPr>
                <w:sz w:val="20"/>
                <w:szCs w:val="20"/>
                <w:color w:val="auto"/>
              </w:rPr>
            </w:pPr>
            <w:r>
              <w:rPr>
                <w:rFonts w:ascii="Arial" w:cs="Arial" w:eastAsia="Arial" w:hAnsi="Arial"/>
                <w:sz w:val="18"/>
                <w:szCs w:val="18"/>
                <w:color w:val="auto"/>
              </w:rPr>
              <w:t>Accounts payable and other accrued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(3,541)</w:t>
            </w:r>
          </w:p>
        </w:tc>
      </w:tr>
      <w:tr>
        <w:trPr>
          <w:trHeight w:val="229"/>
        </w:trPr>
        <w:tc>
          <w:tcPr>
            <w:tcW w:w="7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Customer deposits and advance payments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r>
      <w:tr>
        <w:trPr>
          <w:trHeight w:val="230"/>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assets and liabilities, net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2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r>
      <w:tr>
        <w:trPr>
          <w:trHeight w:val="88"/>
        </w:trPr>
        <w:tc>
          <w:tcPr>
            <w:tcW w:w="7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(2,281)</w:t>
            </w: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of intangible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w:t>
            </w:r>
          </w:p>
        </w:tc>
      </w:tr>
      <w:tr>
        <w:trPr>
          <w:trHeight w:val="88"/>
        </w:trPr>
        <w:tc>
          <w:tcPr>
            <w:tcW w:w="78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long-term debt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Debt modification costs paid</w:t>
            </w:r>
          </w:p>
        </w:tc>
        <w:tc>
          <w:tcPr>
            <w:tcW w:w="2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under revolving credit facility</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88"/>
        </w:trPr>
        <w:tc>
          <w:tcPr>
            <w:tcW w:w="7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and restricted cash:</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Net decrease in cash and restricted cash</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(10,734)</w:t>
            </w: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50,465</w:t>
            </w:r>
          </w:p>
        </w:tc>
      </w:tr>
      <w:tr>
        <w:trPr>
          <w:trHeight w:val="223"/>
        </w:trPr>
        <w:tc>
          <w:tcPr>
            <w:tcW w:w="7820" w:type="dxa"/>
            <w:vAlign w:val="bottom"/>
          </w:tcPr>
          <w:p>
            <w:pPr>
              <w:ind w:left="140"/>
              <w:spacing w:after="0"/>
              <w:rPr>
                <w:sz w:val="20"/>
                <w:szCs w:val="20"/>
                <w:color w:val="auto"/>
              </w:rPr>
            </w:pPr>
            <w:r>
              <w:rPr>
                <w:rFonts w:ascii="Arial" w:cs="Arial" w:eastAsia="Arial" w:hAnsi="Arial"/>
                <w:sz w:val="18"/>
                <w:szCs w:val="18"/>
                <w:color w:val="auto"/>
              </w:rPr>
              <w:t>Cash and restricted cash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39,731</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7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8,186</w:t>
            </w:r>
          </w:p>
        </w:tc>
      </w:tr>
      <w:tr>
        <w:trPr>
          <w:trHeight w:val="108"/>
        </w:trPr>
        <w:tc>
          <w:tcPr>
            <w:tcW w:w="78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Payment-in-kind interest added to principal of debt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108"/>
        </w:trPr>
        <w:tc>
          <w:tcPr>
            <w:tcW w:w="7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and restricted cash:</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Cash</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2,858</w:t>
            </w: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36,873</w:t>
            </w: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cash and restricted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39,731</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Consolidation, and Presentation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 xml:space="preserve">Priority Technology Holdings, Inc. and its consolidated subsidiaries are referred to herein collectively as "Priority," "PRTH," the "Company," "we," "our" or "us," unless the context requires otherwise. </w:t>
      </w:r>
      <w:r>
        <w:rPr>
          <w:rFonts w:ascii="Arial" w:cs="Arial" w:eastAsia="Arial" w:hAnsi="Arial"/>
          <w:sz w:val="16"/>
          <w:szCs w:val="16"/>
          <w:color w:val="000000"/>
        </w:rPr>
        <w:t>Priority is a provider of merchant acquiring, integrated payment software and commercial payment solutions.</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unaudited condensed consolidated financial statements include the accounts of the Company including those of its majority-owned subsidiaries, and all material intercompany balances and transactions have been eliminated in consolidation. These unaudited condensed consolidated financial statements have been prepared in accordance with accounting principles generally accepted in the United States ("GAAP") for interim financial information pursuant to the rules and regulations of the Securities and Exchange Commission ("SEC"). The consolidated balance sheet as of December 31, 2020 was derived from the audited financial statements included in the Company's Annual Report on Form 10-K for the year ended December 31, 2020 but does not include all disclosures required by GAAP for annual financial statements.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opinion of the Company's management, all known adjustments necessary for a fair presentation of the results of the interim periods have been made. These adjustments consist of normal recurring accruals and estimates that affect the carrying amount of assets and liabilities. These financial statements should be read in conjunction with the consolidated financial statements and notes thereto included in the Company's Annual Report on Form 10-K for the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preparation of financial statements in conformity with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Actual results could differ materially from those estimates. </w:t>
      </w:r>
      <w:r>
        <w:rPr>
          <w:rFonts w:ascii="Arial" w:cs="Arial" w:eastAsia="Arial" w:hAnsi="Arial"/>
          <w:sz w:val="17"/>
          <w:szCs w:val="17"/>
          <w:color w:val="212529"/>
        </w:rPr>
        <w:t>In particular, the continued magnitude,</w:t>
      </w:r>
      <w:r>
        <w:rPr>
          <w:rFonts w:ascii="Arial" w:cs="Arial" w:eastAsia="Arial" w:hAnsi="Arial"/>
          <w:sz w:val="17"/>
          <w:szCs w:val="17"/>
          <w:color w:val="auto"/>
        </w:rPr>
        <w:t xml:space="preserve"> </w:t>
      </w:r>
      <w:r>
        <w:rPr>
          <w:rFonts w:ascii="Arial" w:cs="Arial" w:eastAsia="Arial" w:hAnsi="Arial"/>
          <w:sz w:val="17"/>
          <w:szCs w:val="17"/>
          <w:color w:val="212529"/>
        </w:rPr>
        <w:t>duration and effects of the COVID-19 pandemic are difficult to predict, and the ultimate effect could result in future charges related to the recoverability of assets, including financial assets, long-lived assets, goodwill, and other losses.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Status as an Emerging Growth Company</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exceeds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may continue to elect to delay the adoption of any new or revised accounting standards that have different effective dates for public and private companies until those standards apply to private companies. As such, the Company's financial statements may not be comparable to that comply with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and March 31, 2020, the Company had no activities to report as components of other comprehensive income (loss). Therefore, no separate Statement of Comprehensive Income (Loss) was prepared for any reporting period as the Company's net income (loss) from continuing operations comprises all of its comprehensive income (loss).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Comparability of Reporting Periods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income from operations, income (loss) before income taxes, net income (loss), stockholders' deficit, or cash flows from operations, investing, or financing activities for any period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New Accounting Standards Adopted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Company's accounting policies as described in its most recent Annual Report on Form 10-K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2020. The Company did not adopt any new accounting standards during the three months ended March 31, 2021 except for the following: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Simplifying the Accounting for Income Taxes (ASU 2019-12)</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2019, the FASB issued Accounting Standards Update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is intended to enhance and simplify various aspects of the accounting for income taxes. The amendments in this update remove certain exceptions to the general principles in Accounting Standards Codification ("ASC") Topic 740 related to the approach for intraperiod tax allocation, the methodology for calculating income taxes in an interim period and the recognition of deferred tax liabilities for outside basis differences. ASU 2019-12 also clarifies and amends existing guidance to improve consistency in application of the accounting for franchise taxes, enacted changes in tax laws or rates and transactions that result in a step-up in the tax basis of goodwill. The adoption of ASU 2019-12 on January 1, 2021 did not have a material effect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Pending Adoption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standards are pending adoption and will likely apply to the Company in future periods based on the Company's current business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Implementation Costs Incurred in Cloud Computing Arrangements</w:t>
      </w:r>
      <w:r>
        <w:rPr>
          <w:rFonts w:ascii="Arial" w:cs="Arial" w:eastAsia="Arial" w:hAnsi="Arial"/>
          <w:sz w:val="16"/>
          <w:szCs w:val="16"/>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Company's annual reporting period beginning January 1, 2021, and will be effective for interim periods beginning in 2022. The amendments are applied either retrospectively or prospectively to all implementation costs incurred after the date of adoption, and the Company has not yet made a determination to use the retrospective or prospective adoption method. Based on current operations of the Company, the adoption of ASU 2018-15 is not expected to have a material effect on the Company's results of operations, financial position,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2020-04)</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12, 2020, the FASB issued ASU 2020-04, Reference Rate Reform (Topic 848), Facilitation of the Effects of Reference Rate Reform on Financial Reporting. This ASU provides temporary optional expedients and exceptions to the GAAP guidance on contract modifications and hedge accounting to ease the financial reporting burdens of the expected market transition from the London Interbank Offered Rate ("LIBOR") and other interbank offered rates to alternative reference rates, such as the Secured Overnight Financial Rate. Entities can elect not to apply certain modification accounting requirements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affected by what the guidance calls reference rate reform, if certain criteria are met. An entity that makes this election would not have to remeasure the contract at the modification date or reassess a previous accounting determination. ASU 2021-01 ASU 2020-04 can be adopted at any time before December 31, 2022. The provisions of ASU 2020-04 may impact the Company if future debt modifications or refinancings utilize one or more of the reference rates covered by the provisions of this ASU.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and interim reporting periods beginning 2022.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 and ASU 2018-19)</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new guidance will change how entities account for credit impairment for trade and other receivables, as well as for certain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and notes receivable. Since the Company is a smaller reporting company ("SRC"), the Company must adopt this new standard no later than the beginning of 2023 for annual and interim reporting periods.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Since the Company is a SRC, the Company must adopt this new standard no later than the beginning of 2023 for annual and interim reporting periods. The impact that ASU 2017-04 may have on the Company's financial condition or results of operations will depend on the circumstances of any goodwill impairment event that may occur after adoption.</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REVENUES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all periods presented, substantially all of the Company’s revenues from services were recognized over time. Revenues and commissions earned from the sales of payment equipment were typically recognized at a point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disaggregation of the Company's consolidated revenues by type, and the relationships to the Company's reportable segments, for the three months ended March 31, 2021 and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shd w:val="clear" w:color="auto" w:fill="CCEEFF"/>
          </w:tcPr>
          <w:p>
            <w:pPr>
              <w:spacing w:after="0"/>
              <w:rPr>
                <w:sz w:val="19"/>
                <w:szCs w:val="19"/>
                <w:color w:val="auto"/>
              </w:rPr>
            </w:pPr>
          </w:p>
        </w:tc>
        <w:tc>
          <w:tcPr>
            <w:tcW w:w="3080" w:type="dxa"/>
            <w:vAlign w:val="bottom"/>
            <w:tcBorders>
              <w:bottom w:val="single" w:sz="8" w:color="auto"/>
            </w:tcBorders>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23"/>
        </w:trPr>
        <w:tc>
          <w:tcPr>
            <w:tcW w:w="7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 Type</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7880" w:type="dxa"/>
            <w:vAlign w:val="bottom"/>
          </w:tcPr>
          <w:p>
            <w:pPr>
              <w:ind w:left="220"/>
              <w:spacing w:after="0"/>
              <w:rPr>
                <w:sz w:val="20"/>
                <w:szCs w:val="20"/>
                <w:color w:val="auto"/>
              </w:rPr>
            </w:pPr>
            <w:r>
              <w:rPr>
                <w:rFonts w:ascii="Arial" w:cs="Arial" w:eastAsia="Arial" w:hAnsi="Arial"/>
                <w:sz w:val="18"/>
                <w:szCs w:val="18"/>
                <w:color w:val="auto"/>
              </w:rPr>
              <w:t>Merchant card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107,702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89,086</w:t>
            </w:r>
          </w:p>
        </w:tc>
      </w:tr>
      <w:tr>
        <w:trPr>
          <w:trHeight w:val="229"/>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Outsourced services and other services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r>
      <w:tr>
        <w:trPr>
          <w:trHeight w:val="229"/>
        </w:trPr>
        <w:tc>
          <w:tcPr>
            <w:tcW w:w="7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Equipment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Revenues earned in these disaggregated categories consist of following:</w:t>
      </w:r>
    </w:p>
    <w:p>
      <w:pPr>
        <w:spacing w:after="0" w:line="252"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Merchant card fees - revenues related to discount rates and interchange fees earned from payment services provided by the Company's Consumer Payments, Commercial Payments, and Integrated Partners segments.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Outsourced services and other services - business process outsourcing services provided by our Commercial Payments segment primarily to certain business customers of American Express, auxiliary services provided primarily to customers in the Company's Integrated Partners segment, and revenue from automated clearing house ("ACH") services.</w:t>
      </w:r>
    </w:p>
    <w:p>
      <w:pPr>
        <w:spacing w:after="0" w:line="21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 revenues from sales of point-of-sale equipment and other payment-processing equipment sold to customers in the Company's Consumer Payments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Transaction Price Allocated to Future Performance Obligations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ASC 606, </w:t>
      </w:r>
      <w:r>
        <w:rPr>
          <w:rFonts w:ascii="Arial" w:cs="Arial" w:eastAsia="Arial" w:hAnsi="Arial"/>
          <w:sz w:val="18"/>
          <w:szCs w:val="18"/>
          <w:i w:val="1"/>
          <w:iCs w:val="1"/>
          <w:color w:val="212529"/>
        </w:rPr>
        <w:t>Revenue Recognition</w:t>
      </w:r>
      <w:r>
        <w:rPr>
          <w:rFonts w:ascii="Arial" w:cs="Arial" w:eastAsia="Arial" w:hAnsi="Arial"/>
          <w:sz w:val="18"/>
          <w:szCs w:val="18"/>
          <w:color w:val="212529"/>
        </w:rPr>
        <w:t xml:space="preserve"> ("ASU 606"), requires disclosure of the aggregate amount of the transaction price allocated to unsatisfied performance obligations. However, as allowed by ASC 606, the Company has elected to exclude from this disclosure any contracts with an original duration of one year or less and any variable consideration that meets specified criteria.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Contract Costs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212529"/>
        </w:rPr>
        <w:t xml:space="preserve">For new, renewed, or anticipated contracts with customers, the Company does not incur material amounts of incremental costs to obtain such contracts, as those costs are defined by ASC 340-40, </w:t>
      </w:r>
      <w:r>
        <w:rPr>
          <w:rFonts w:ascii="Arial" w:cs="Arial" w:eastAsia="Arial" w:hAnsi="Arial"/>
          <w:sz w:val="18"/>
          <w:szCs w:val="18"/>
          <w:i w:val="1"/>
          <w:iCs w:val="1"/>
          <w:color w:val="212529"/>
        </w:rPr>
        <w:t>Related Costs to Obtain or Fulfill a Contract with Customers</w:t>
      </w:r>
      <w:r>
        <w:rPr>
          <w:rFonts w:ascii="Arial" w:cs="Arial" w:eastAsia="Arial" w:hAnsi="Arial"/>
          <w:sz w:val="18"/>
          <w:szCs w:val="18"/>
          <w:color w:val="212529"/>
        </w:rPr>
        <w:t xml:space="preserve"> ("ASU 340-40").</w:t>
      </w:r>
    </w:p>
    <w:p>
      <w:pPr>
        <w:spacing w:after="0" w:line="19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212529"/>
        </w:rPr>
        <w:t>Fulfillment costs, as defined by ASC 340-40, typically benefit only the period (typically a month in duration) in which they are incurred and therefore are expensed in the period incurred (i.e., not capitalized) unless they meet criteria to be capitalized under other accounting guidance.</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Company pays commissions to most of its independent sales organizations ("ISOs"), and for certain ISOs the Company also pays (through a higher commission rate) them to provide customer service and other services directly to our merchant customers. The ISO is typically an independent contractor or agent of the Company. Although certain ISOs may have merchant portability rights, the merchant meets the definition of a customer for the Company even if the ISO has merchant portability rights. Since payments to ISOs are dependent substantially on variable merchant payment volumes generated after the merchant enters into a new or renewed contract, these payments to ISOs are not deemed to be a cost to acquire a new contract since the ISO payments are based on factors that will arise subsequent to the event of obtaining a new or renewed contract. Also,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payments to ISOs pertain only to a specific month’s activity. For payments made, or due, to an ISO, the expenses are reported within income from operations on our statements of operations.</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The Company from time-to-time may elect to buy out all or a portion of an ISO’s rights to receive future commission payments related to certain merchants. Amounts paid to the ISO for these residual buyouts are capitalized by the Company under the accounting guidance for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Contract Liabilities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contract with a customer creates legal rights and obligations. As the Company performs under customer contracts, its right to consideration that is unconditional is considered to be accounts receivable. If the Company’s right to consideration for such performance is contingent upon a future event or satisfaction of additional performance obligations, the amount of revenues recognized in excess of the amount billed to the customer is recognized as a contract asset. Contract liabilities represent consideration received from customers in excess of revenues recognized. Material contract assets and liabilities are presented net at the individual contract level in the consolidated balance sheet and are classified as current or noncurrent based on the nature of the underlying contractual rights and obligations.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contracts from customers as of March 31, 2021 and December 31, 2020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9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Consolidated Balance Sheet Location</w:t>
            </w: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March 31, 2021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December 31, 2020</w:t>
            </w:r>
          </w:p>
        </w:tc>
      </w:tr>
      <w:tr>
        <w:trPr>
          <w:trHeight w:val="128"/>
        </w:trPr>
        <w:tc>
          <w:tcPr>
            <w:tcW w:w="3360" w:type="dxa"/>
            <w:vAlign w:val="bottom"/>
          </w:tcPr>
          <w:p>
            <w:pPr>
              <w:spacing w:after="0"/>
              <w:rPr>
                <w:sz w:val="11"/>
                <w:szCs w:val="11"/>
                <w:color w:val="auto"/>
              </w:rPr>
            </w:pPr>
          </w:p>
        </w:tc>
        <w:tc>
          <w:tcPr>
            <w:tcW w:w="3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Contract liabilities, net (current)</w:t>
            </w:r>
          </w:p>
        </w:tc>
        <w:tc>
          <w:tcPr>
            <w:tcW w:w="3920" w:type="dxa"/>
            <w:vAlign w:val="bottom"/>
            <w:gridSpan w:val="2"/>
          </w:tcPr>
          <w:p>
            <w:pPr>
              <w:ind w:left="20"/>
              <w:spacing w:after="0"/>
              <w:rPr>
                <w:sz w:val="20"/>
                <w:szCs w:val="20"/>
                <w:color w:val="auto"/>
              </w:rPr>
            </w:pPr>
            <w:r>
              <w:rPr>
                <w:rFonts w:ascii="Arial" w:cs="Arial" w:eastAsia="Arial" w:hAnsi="Arial"/>
                <w:sz w:val="18"/>
                <w:szCs w:val="18"/>
                <w:color w:val="auto"/>
              </w:rPr>
              <w:t>Customer deposits and advance payments</w:t>
            </w:r>
          </w:p>
        </w:tc>
        <w:tc>
          <w:tcPr>
            <w:tcW w:w="1940" w:type="dxa"/>
            <w:vAlign w:val="bottom"/>
          </w:tcPr>
          <w:p>
            <w:pPr>
              <w:jc w:val="right"/>
              <w:ind w:right="63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$1,494</w:t>
            </w:r>
          </w:p>
        </w:tc>
      </w:tr>
    </w:tbl>
    <w:p>
      <w:pPr>
        <w:spacing w:after="0" w:line="200" w:lineRule="exact"/>
        <w:rPr>
          <w:sz w:val="20"/>
          <w:szCs w:val="20"/>
          <w:color w:val="auto"/>
        </w:rPr>
      </w:pP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balances for the contract liabilities were approximately $1.7 million and $1.9 million at March 31, 2020 and December 31, 2019, respectively. The changes in the balances during the three months ended March 31, 2021 and March 31, 2020 were due to the timing of advance payments received from the customer. Substantially all of these balances are recognized as revenue within twelve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12529"/>
        </w:rPr>
        <w:t>Net contract assets were not material for any period presented.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Impairment losses recognized on receivables or contract assets arising from the Company's contracts with customers were not material for the three months ended March 31, 2021 and March 31, 2020.</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Consumer Payments Segment</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In the Company’s Consumer Payments reportable segment, funds settlement refers to the process of transferring funds for sales and credits between card issuers and merchants. The standards of the card networks restrict non-members, such as the Company, from performing funds settlement or accessing merchant settlement funds. Instead, these funds must be in the possession of a member bank until the merchant is funded. The Company has agreements with member banks which allow the Company to route transactions under the member bank's control to clear transactions through the card networks. Timing differences, interchange fees, merchant reserves and exception items cause differences between the amounts received from the card networks and the amounts funded to the merchants.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consolidated balance sheets. Member banks held merchant funds of </w:t>
      </w:r>
      <w:r>
        <w:rPr>
          <w:rFonts w:ascii="Arial" w:cs="Arial" w:eastAsia="Arial" w:hAnsi="Arial"/>
          <w:sz w:val="17"/>
          <w:szCs w:val="17"/>
          <w:color w:val="000000"/>
        </w:rPr>
        <w:t>$115.4 million and $103.8 million at March 31, 2021 and December</w:t>
      </w:r>
      <w:r>
        <w:rPr>
          <w:rFonts w:ascii="Arial" w:cs="Arial" w:eastAsia="Arial" w:hAnsi="Arial"/>
          <w:sz w:val="17"/>
          <w:szCs w:val="17"/>
          <w:color w:val="212529"/>
        </w:rPr>
        <w:t xml:space="preserve"> </w:t>
      </w:r>
      <w:r>
        <w:rPr>
          <w:rFonts w:ascii="Arial" w:cs="Arial" w:eastAsia="Arial" w:hAnsi="Arial"/>
          <w:sz w:val="17"/>
          <w:szCs w:val="17"/>
          <w:color w:val="000000"/>
        </w:rPr>
        <w:t>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Exception items include items such as customer chargeback amounts received from merchants and other losses. Under agreements between the Company and its merchant customers, the merchants assume liability for such chargebacks and losses. If the Company is ultimately unable to collect amounts from the merchants for any charges or losses due to merchant fraud, insolvency, bankruptcy or any other reason, it may be liable for these charges. In order to mitigate the risk of such liability, the Company may 1) require certain merchants to establish and maintain reserves designed to protect the Company from such charges or losses under its risk-based underwriting policy and 2) engage with certain ISOs in partner programs in which the ISOs assume liability for these charges or losses. A merchant reserve account is funded by the merchant and held by the member bank during the term of the merchant agreement. Unused merchant reserves are returned to the merchant after termination of the merchant agreement or in certain instances upon a reassessment of risks during the term of the merchant agreement.</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Exception items that become the liability of the Company are recorded as merchant losses, a component of costs of services in the consolidated statements of operations. Exception items that the Company is still attempting to collect from the merchants through the funds settlement process or merchant reserves are recognized as settlement assets in the Company’s consolidated balance sheets, with an offsetting reserve for those amounts the Company estimates it will not be able to recover. Expenses for actual and estimated merchant losses for the three months ended March 31, 2021 and March 31, 2020 were $0.4 million and $1.0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Segment</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Company’s Commercial Payments segment, the Company earns revenue from certain of its services by processing ACH transactions for financial institutions and other business customers. Customers transfer funds to the Company, which are held in bank accounts controlled by the Company until such time as the ACH transactions are made. The Company recognizes these cash balances within restricted cash and settlement obligations in its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March 31, 2021 and December 31, 2020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Settlement Assets:</w:t>
            </w: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Card settlements due from merchants, net of estimated losses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Card settlements due from ISOs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Settlement Obligations: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Due to ACH payees (1)</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72,878</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settlement obligations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(1) Amounts due to ACH payees are held by the Company in restricted cash.</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separately-identifiable tangible and intangible assets acquired and the liabilities assumed. All of the Company's goodwill was allocated to the Company's Consumer Payments reporting unit at March 31, 2021 and December 31, 2020.</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considered the market conditions generated by the COVID-19 pandemic and concluded that there were no indicators of impairment for the goodwill of the Consumer Payments reporting unit for the three months ended March 31, 2021.</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tests goodwill for impairment on an annual basis, or when events occur or circumstances indicate the fair value of a reporting unit may be below its carrying value. The Company will continue to monitor the economic impact of COVID-19 on its ongoing assessment of goodwill. The Company expects to perform its next annual goodwill impairment test during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fourth quarter of 2021 using market data and discounted cash flow analysis. The Company concluded there was no impairment as of March 31, 2021 or December 31, 2020. As such, there was no accumulated impairment loss as of March 31, 2021 and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The Company's other intangible assets include acquired merchant portfolios, customer relationships, ISO relationships, trade names, technology, and residual buyouts. </w:t>
      </w:r>
      <w:r>
        <w:rPr>
          <w:rFonts w:ascii="Arial" w:cs="Arial" w:eastAsia="Arial" w:hAnsi="Arial"/>
          <w:sz w:val="18"/>
          <w:szCs w:val="18"/>
          <w:color w:val="000000"/>
        </w:rPr>
        <w:t>As of March 31, 2021 and December 31, 2020, intangible assets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142"/>
        </w:trPr>
        <w:tc>
          <w:tcPr>
            <w:tcW w:w="7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480"/>
              <w:spacing w:after="0"/>
              <w:rPr>
                <w:sz w:val="20"/>
                <w:szCs w:val="20"/>
                <w:color w:val="auto"/>
              </w:rPr>
            </w:pPr>
            <w:r>
              <w:rPr>
                <w:rFonts w:ascii="Arial" w:cs="Arial" w:eastAsia="Arial" w:hAnsi="Arial"/>
                <w:sz w:val="18"/>
                <w:szCs w:val="18"/>
                <w:color w:val="auto"/>
              </w:rPr>
              <w:t>Merchant portfolios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55,816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55,816</w:t>
            </w: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40,740</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Residual buyouts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116,112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116,112</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Non-compete agreements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29"/>
        </w:trPr>
        <w:tc>
          <w:tcPr>
            <w:tcW w:w="718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2,870</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r>
      <w:tr>
        <w:trPr>
          <w:trHeight w:val="229"/>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ISO relationships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15,200</w:t>
            </w:r>
          </w:p>
        </w:tc>
      </w:tr>
      <w:tr>
        <w:trPr>
          <w:trHeight w:val="223"/>
        </w:trPr>
        <w:tc>
          <w:tcPr>
            <w:tcW w:w="7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gross carrying value</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248,518</w:t>
            </w:r>
          </w:p>
        </w:tc>
      </w:tr>
      <w:tr>
        <w:trPr>
          <w:trHeight w:val="88"/>
        </w:trPr>
        <w:tc>
          <w:tcPr>
            <w:tcW w:w="7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80" w:type="dxa"/>
            <w:vAlign w:val="bottom"/>
          </w:tcPr>
          <w:p>
            <w:pPr>
              <w:ind w:left="480"/>
              <w:spacing w:after="0"/>
              <w:rPr>
                <w:sz w:val="20"/>
                <w:szCs w:val="20"/>
                <w:color w:val="auto"/>
              </w:rPr>
            </w:pPr>
            <w:r>
              <w:rPr>
                <w:rFonts w:ascii="Arial" w:cs="Arial" w:eastAsia="Arial" w:hAnsi="Arial"/>
                <w:sz w:val="18"/>
                <w:szCs w:val="18"/>
                <w:color w:val="auto"/>
              </w:rPr>
              <w:t>Merchant portfolios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(19,471)</w:t>
            </w: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(30,267)</w:t>
            </w:r>
          </w:p>
        </w:tc>
      </w:tr>
      <w:tr>
        <w:trPr>
          <w:trHeight w:val="230"/>
        </w:trPr>
        <w:tc>
          <w:tcPr>
            <w:tcW w:w="7180" w:type="dxa"/>
            <w:vAlign w:val="bottom"/>
          </w:tcPr>
          <w:p>
            <w:pPr>
              <w:ind w:left="480"/>
              <w:spacing w:after="0"/>
              <w:rPr>
                <w:sz w:val="20"/>
                <w:szCs w:val="20"/>
                <w:color w:val="auto"/>
              </w:rPr>
            </w:pPr>
            <w:r>
              <w:rPr>
                <w:rFonts w:ascii="Arial" w:cs="Arial" w:eastAsia="Arial" w:hAnsi="Arial"/>
                <w:sz w:val="18"/>
                <w:szCs w:val="18"/>
                <w:color w:val="auto"/>
              </w:rPr>
              <w:t>Residual buyouts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(75,975)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(72,659)</w:t>
            </w:r>
          </w:p>
        </w:tc>
      </w:tr>
      <w:tr>
        <w:trPr>
          <w:trHeight w:val="230"/>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Non-compete agreements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30"/>
        </w:trPr>
        <w:tc>
          <w:tcPr>
            <w:tcW w:w="7180" w:type="dxa"/>
            <w:vAlign w:val="bottom"/>
          </w:tcPr>
          <w:p>
            <w:pPr>
              <w:ind w:left="48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(1,651)</w:t>
            </w:r>
          </w:p>
        </w:tc>
      </w:tr>
      <w:tr>
        <w:trPr>
          <w:trHeight w:val="229"/>
        </w:trPr>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Technology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(13,951)</w:t>
            </w:r>
          </w:p>
        </w:tc>
      </w:tr>
      <w:tr>
        <w:trPr>
          <w:trHeight w:val="230"/>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ISO relationships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w:t>
            </w:r>
          </w:p>
        </w:tc>
      </w:tr>
      <w:tr>
        <w:trPr>
          <w:trHeight w:val="223"/>
        </w:trPr>
        <w:tc>
          <w:tcPr>
            <w:tcW w:w="7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(148,708)</w:t>
            </w:r>
          </w:p>
        </w:tc>
      </w:tr>
      <w:tr>
        <w:trPr>
          <w:trHeight w:val="88"/>
        </w:trPr>
        <w:tc>
          <w:tcPr>
            <w:tcW w:w="7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29"/>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allowance for impairment</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196"/>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54"/>
        </w:trPr>
        <w:tc>
          <w:tcPr>
            <w:tcW w:w="71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Net carrying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Note 9</w:t>
      </w:r>
      <w:r>
        <w:rPr>
          <w:rFonts w:ascii="Arial" w:cs="Arial" w:eastAsia="Arial" w:hAnsi="Arial"/>
          <w:sz w:val="18"/>
          <w:szCs w:val="18"/>
          <w:i w:val="1"/>
          <w:iCs w:val="1"/>
          <w:color w:val="auto"/>
        </w:rPr>
        <w:t>, Commitments and Contingencies,</w:t>
      </w:r>
      <w:r>
        <w:rPr>
          <w:rFonts w:ascii="Arial" w:cs="Arial" w:eastAsia="Arial" w:hAnsi="Arial"/>
          <w:sz w:val="18"/>
          <w:szCs w:val="18"/>
          <w:color w:val="auto"/>
        </w:rPr>
        <w:t xml:space="preserve"> for information about an acquired merchant portfolio with a contingent purchase price.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finite-lived intangible assets was $7.0 million and $8.5 million for the three months ended March 31, 2021 and March 31, 2020, respectively. Amortization expense for future periods could differ due to new intangible asset acquisitions, changes in useful lives of existing intangible assets, and other relevant events or circumstances.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tests intangible assets for impairment when events occur or circumstances indicate that the fair value of an intangible asset or group of intangible assets may be impaired. In the Company's Consumer Payments segment, a residual buyout intangible asset with a net carrying value of $2.2 million was deemed to be impaired at December 31, 2020. The fair value of this intangible asset was estimated to be approximately $0.5 million, resulting in the recognition of an impairment charge of $1.8 million. This impairment was the result of diminished cash flows generated by the merchant portfolio.</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considered the market conditions generated by the COVID-19 pandemic and concluded that there were no additional impairment indicators present at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EQUIPMENT, AND SOFTWARE</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212529"/>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March 31, 2021 and December 31, 2020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Computer software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44,320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23"/>
        </w:trPr>
        <w:tc>
          <w:tcPr>
            <w:tcW w:w="7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66,552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63,581</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(40,706)</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22,875</w:t>
            </w:r>
          </w:p>
        </w:tc>
      </w:tr>
      <w:tr>
        <w:trPr>
          <w:trHeight w:val="21"/>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property, equipment, and software totaled $2.1 million and $1.8 million for the three months ended March 31, 2021 and 2020, respectively.</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ACCOUNTS PAYABLE AND ACCRUED EXPENSES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March 31, 2021 or December 31, 2020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Accrued card network fees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7.  DEBT OBLIGATIONS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80" w:type="dxa"/>
            <w:vAlign w:val="bottom"/>
            <w:gridSpan w:val="2"/>
          </w:tcPr>
          <w:p>
            <w:pPr>
              <w:spacing w:after="0"/>
              <w:rPr>
                <w:sz w:val="20"/>
                <w:szCs w:val="20"/>
                <w:color w:val="auto"/>
              </w:rPr>
            </w:pPr>
            <w:r>
              <w:rPr>
                <w:rFonts w:ascii="Arial" w:cs="Arial" w:eastAsia="Arial" w:hAnsi="Arial"/>
                <w:sz w:val="18"/>
                <w:szCs w:val="18"/>
                <w:color w:val="auto"/>
                <w:w w:val="91"/>
              </w:rPr>
              <w:t>Outstanding debt obligations as of March 31, 2021 and December 31, 2020 consisted of the following:</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09"/>
        </w:trPr>
        <w:tc>
          <w:tcPr>
            <w:tcW w:w="7180" w:type="dxa"/>
            <w:vAlign w:val="bottom"/>
          </w:tcPr>
          <w:p>
            <w:pPr>
              <w:ind w:left="20"/>
              <w:spacing w:after="0"/>
              <w:rPr>
                <w:sz w:val="20"/>
                <w:szCs w:val="20"/>
                <w:color w:val="auto"/>
              </w:rPr>
            </w:pPr>
            <w:r>
              <w:rPr>
                <w:rFonts w:ascii="Arial" w:cs="Arial" w:eastAsia="Arial" w:hAnsi="Arial"/>
                <w:sz w:val="18"/>
                <w:szCs w:val="18"/>
                <w:color w:val="auto"/>
              </w:rPr>
              <w:t>Senior Credit Agreement:</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Term facility - Matures January 3, 2023 and bears interest at LIBOR (with a LIBOR "floor" of</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1.00% beginning March 18, 2020) plus 6.50% and 6.50% at March 31, 2021 and December</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31, 2020, respectively (actual rate of 7.50% and 7.50% at March 31, 2021 and December 31,</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274,557</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 respectively)</w:t>
            </w:r>
          </w:p>
        </w:tc>
        <w:tc>
          <w:tcPr>
            <w:tcW w:w="30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w w:val="93"/>
              </w:rPr>
              <w:t>Revolving credit facility - $25.0 million line, matures January 22, 2022, and bears interest at</w:t>
            </w:r>
          </w:p>
        </w:tc>
        <w:tc>
          <w:tcPr>
            <w:tcW w:w="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360"/>
              <w:spacing w:after="0" w:line="176" w:lineRule="exact"/>
              <w:rPr>
                <w:sz w:val="20"/>
                <w:szCs w:val="20"/>
                <w:color w:val="auto"/>
              </w:rPr>
            </w:pPr>
            <w:r>
              <w:rPr>
                <w:rFonts w:ascii="Arial" w:cs="Arial" w:eastAsia="Arial" w:hAnsi="Arial"/>
                <w:sz w:val="18"/>
                <w:szCs w:val="18"/>
                <w:color w:val="auto"/>
                <w:w w:val="98"/>
              </w:rPr>
              <w:t>LIBOR plus 6.50% and 6.50% at March 31, 2021 and December 31, 2020, respectively</w:t>
            </w:r>
          </w:p>
        </w:tc>
        <w:tc>
          <w:tcPr>
            <w:tcW w:w="300" w:type="dxa"/>
            <w:vAlign w:val="bottom"/>
          </w:tcPr>
          <w:p>
            <w:pPr>
              <w:spacing w:after="0"/>
              <w:rPr>
                <w:sz w:val="15"/>
                <w:szCs w:val="15"/>
                <w:color w:val="auto"/>
              </w:rPr>
            </w:pPr>
          </w:p>
        </w:tc>
        <w:tc>
          <w:tcPr>
            <w:tcW w:w="1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w w:val="94"/>
              </w:rPr>
              <w:t>(actual rate of 6.65% and 6.65% at March 31, 2021 and December 31, 2020, respectively)</w:t>
            </w:r>
          </w:p>
        </w:tc>
        <w:tc>
          <w:tcPr>
            <w:tcW w:w="30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Term Loan - Subordinated, matures July 3, 2023 and bears interest at 5.00% plus an applicable</w:t>
            </w:r>
          </w:p>
        </w:tc>
        <w:tc>
          <w:tcPr>
            <w:tcW w:w="3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margin (actual rate of 12.50% and 12.50% at March 31, 2021 and December 31, 2020,</w:t>
            </w:r>
          </w:p>
        </w:tc>
        <w:tc>
          <w:tcPr>
            <w:tcW w:w="3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102,623</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80"/>
              <w:spacing w:after="0"/>
              <w:rPr>
                <w:sz w:val="20"/>
                <w:szCs w:val="20"/>
                <w:color w:val="auto"/>
              </w:rPr>
            </w:pPr>
            <w:r>
              <w:rPr>
                <w:rFonts w:ascii="Arial" w:cs="Arial" w:eastAsia="Arial" w:hAnsi="Arial"/>
                <w:sz w:val="18"/>
                <w:szCs w:val="18"/>
                <w:b w:val="1"/>
                <w:bCs w:val="1"/>
                <w:color w:val="auto"/>
              </w:rPr>
              <w:t>Total debt obligations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379,104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382,040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discounts and deferred financing costs</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Long-term debt,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357,873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Substantially all of the Company's assets are pledged as collateral under the credit agreements. The Company is neither a borrower nor a guarantor of the credit agreements. The Company's subsidiaries that are borrowers or guarantors under the credit agreements are referred to as the "Borrowers."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Agreement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borrowings under that certain Credit and Guaranty Agreement, dated as of January 3, 2017, with Truist (the “Senior Credit Agreement”) accrue interest using either a base rate (as defined) or a LIBOR rate plus an applicable margin, or percentage per annum, as provided in the amended credit agreement. For the term loan facility of our Senior Credit Agreement, the Sixth Amendment, which was executed on March 18, 2020, thereto provides for a LIBOR "floor" of 1.0% per annum. Accrued interest is payable monthly. The revolving credit facility incurs a commitment fee on any undrawn amount of the $25.0 million credit line, which equates to 0.50% per annum for the unused portion.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5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Outstanding borrowings under that certain Credit and Guaranty Agreement, dated as of January 3, 2017, with Goldman Sachs Specialty Lending Group, L.P. (the “Term Loan Agreement”) accrue interest at 5.0%, plus an applicable margin, or percentage per annum, as indicated in the amended credit agreement. Accrued interest is payable quarterly at 5.0% per annum, and the accrued interest attributable to the applicable margin is capitalized as payment-in-kind ("PIK") interest each quarter.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Contractual Maturities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00" w:type="dxa"/>
            <w:vAlign w:val="bottom"/>
            <w:gridSpan w:val="9"/>
          </w:tcPr>
          <w:p>
            <w:pPr>
              <w:spacing w:after="0"/>
              <w:rPr>
                <w:sz w:val="20"/>
                <w:szCs w:val="20"/>
                <w:color w:val="auto"/>
              </w:rPr>
            </w:pPr>
            <w:r>
              <w:rPr>
                <w:rFonts w:ascii="Arial" w:cs="Arial" w:eastAsia="Arial" w:hAnsi="Arial"/>
                <w:sz w:val="18"/>
                <w:szCs w:val="18"/>
                <w:color w:val="auto"/>
                <w:w w:val="93"/>
              </w:rPr>
              <w:t>Based on terms and conditions existing at March 31, 2021, future minimum principal payments for long-term debt are as follows: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8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gridSpan w:val="4"/>
            <w:shd w:val="clear" w:color="auto" w:fill="CCEEFF"/>
          </w:tcPr>
          <w:p>
            <w:pPr>
              <w:jc w:val="right"/>
              <w:ind w:right="1310"/>
              <w:spacing w:after="0"/>
              <w:rPr>
                <w:sz w:val="20"/>
                <w:szCs w:val="20"/>
                <w:color w:val="auto"/>
              </w:rPr>
            </w:pPr>
            <w:r>
              <w:rPr>
                <w:rFonts w:ascii="Arial" w:cs="Arial" w:eastAsia="Arial" w:hAnsi="Arial"/>
                <w:sz w:val="18"/>
                <w:szCs w:val="18"/>
                <w:color w:val="auto"/>
              </w:rPr>
              <w:t>Principal Due</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Senior Credit Agreement</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Term Loan Agreement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02"/>
        </w:trPr>
        <w:tc>
          <w:tcPr>
            <w:tcW w:w="4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Twelve-month period ending March 31,</w:t>
            </w:r>
          </w:p>
        </w:tc>
        <w:tc>
          <w:tcPr>
            <w:tcW w:w="360" w:type="dxa"/>
            <w:vAlign w:val="bottom"/>
            <w:shd w:val="clear" w:color="auto" w:fill="CCEEFF"/>
          </w:tcPr>
          <w:p>
            <w:pPr>
              <w:spacing w:after="0"/>
              <w:rPr>
                <w:sz w:val="8"/>
                <w:szCs w:val="8"/>
                <w:color w:val="auto"/>
              </w:rPr>
            </w:pPr>
          </w:p>
        </w:tc>
        <w:tc>
          <w:tcPr>
            <w:tcW w:w="124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rPr>
              <w:t>Term</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Revolver</w:t>
            </w: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00" w:type="dxa"/>
            <w:vAlign w:val="bottom"/>
            <w:vMerge w:val="restart"/>
            <w:shd w:val="clear" w:color="auto" w:fill="CCEEFF"/>
          </w:tcPr>
          <w:p>
            <w:pPr>
              <w:jc w:val="right"/>
              <w:ind w:right="810"/>
              <w:spacing w:after="0"/>
              <w:rPr>
                <w:sz w:val="20"/>
                <w:szCs w:val="20"/>
                <w:color w:val="auto"/>
              </w:rPr>
            </w:pPr>
            <w:r>
              <w:rPr>
                <w:rFonts w:ascii="Arial" w:cs="Arial" w:eastAsia="Arial" w:hAnsi="Arial"/>
                <w:sz w:val="18"/>
                <w:szCs w:val="18"/>
                <w:color w:val="auto"/>
              </w:rPr>
              <w:t>Term</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0" w:type="dxa"/>
            <w:vAlign w:val="bottom"/>
            <w:vMerge w:val="continue"/>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2022 (current)</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24,302</w:t>
            </w:r>
          </w:p>
        </w:tc>
        <w:tc>
          <w:tcPr>
            <w:tcW w:w="120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24,302</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250,255</w:t>
            </w:r>
          </w:p>
        </w:tc>
        <w:tc>
          <w:tcPr>
            <w:tcW w:w="1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250,255</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104,547</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274,557</w:t>
            </w:r>
          </w:p>
        </w:tc>
        <w:tc>
          <w:tcPr>
            <w:tcW w:w="120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379,104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Additionally, the Company may be obligated to make certain additional mandatory prepayments after the end of each year based on excess cash flow, as defined in the Senior Credit Agreement. No such prepayments were made for the year ended December 31, 2020.</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Under the Senior Credit Agreement, prepayments of outstanding principal may be made in permitted increments with a 1% penalty for certain prepayments. Under the Term Loan Agreement, prepayments of outstanding principal are subject to a 2.0% penalty for certain prepayments occurring between March 18, 2021 and March 18, 2022. Such penalties are based on the principal amount that is prepaid, subject to the terms of the credit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PIK Interest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amount borrowed and outstanding under the Term Loan Agreement was $80.0 million at March 31, 2021 and December 31, 2020. Included in the outstanding obligation balance at March 31, 2021 and December 31, 2020 was accumulated PIK interest of $24.5 million and $22.6 million, respectively. For the three months ended March 31, 2021 and March 31, 2020, PIK interest added $1.9 million and $1.4 million, respectively, to the obligation balance under the Term Loan Agreement.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Loan Costs and Discounts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including fees for undrawn amounts under the revolving credit facility and amortization of deferred financing costs and debt discounts, was $9.2 million and $10.3 million for the three months ended March 31, 2021 and March 31, 2020, respectively. Interest expense increased due to the amortization of deferred financing costs and debt discounts by $0.6 million and $0.5 million for the three months ended March 31, 2021 and March 31, 2020, respectively.</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Sixth Amendment, executed in the first quarter of 2020, $2.7 million of lender fees were deferred and added to then-existing unamortized loan costs and discount. Costs that the Company incurs for debt modification that are not eligible for deferral and subsequent amortization as interest expense are reported as debt modification costs on the Company's consolidated statement of operations. Approximately $0.4 million of such costs were expensed in connection with the Sixth Amendment during the first quarter of 2020.</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When the $106.5 million principal repayment was made in September 2020 for the term facility of the Senior Credit Agreement, it was deemed to be a partial extinguishment of debt that was permitted and contemplated by the existing debt agreement, as previously amended. As a result, a proportional amount of unamortized loan costs and discount in the amount of $1.5 million was removed and expensed during the third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Agreement and the Term Loan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subsidiaries to the Company, merge or consolidate, dispose of assets, incur additional indebtedness, make certain investments or acquisitions, enter into certain transactions (including with affiliates), and to enter into certain leases.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also required to comply with certain restrictions on its Total Net Leverage Ratio, which is defined in the credit agreements as the ratio of consolidated total debt of the Borrowers to the Company's consolidated adjusted EBITDA (as defined in the Senior Credit Agreement and Term Loan Agreement). The maximum permitted Total Net Leverage Ratio was 7.71:1.00 at March 31, 2021. As of March 31, 2021, the Company remained in compliance with the covenants.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in April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on the new Credit and Guaranty Agreement executed by the Borrowers on April 27, 2021.</w:t>
      </w:r>
    </w:p>
    <w:p>
      <w:pPr>
        <w:spacing w:after="0" w:line="200" w:lineRule="exact"/>
        <w:rPr>
          <w:sz w:val="20"/>
          <w:szCs w:val="20"/>
          <w:color w:val="auto"/>
        </w:rPr>
      </w:pP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INCOME TAXES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effective income tax rate for the three months ended March 31, 2021 was 45.4%. Our effective income tax rate for the three months ended March 31, 2021 differed from the U.S. statutory rate primarily as a result of changes to our valuation allowance for interest limited under section 163(j) of the Internal Revenue Code.</w:t>
      </w:r>
    </w:p>
    <w:p>
      <w:pPr>
        <w:spacing w:after="0" w:line="21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Company's effective income tax rate for the three months ended March 31, 2020 was 17.4%. Our effective income tax rate for the three months ended March 31, 2020 differed from the U.S. statutory rate primarily as a result of changes to our valuation allowance for interest limited under section 163(j) of the Internal Revenue Code and related favorable interest limitation provisions of the Coronavirus Aid, Relief, and Economic Security Act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Company is required to provide a valuation allowance against deferred income tax assets when it is "more likely than not" that some portion or all of the deferred tax assets will not be realized.</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management’s assessment, as of the first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Minimum Annual Commitments with Third-Party Processors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March 31, 2021, the Company is committed to pay minimum processing fees under these agreements of approximately $14.8 million in 2021 and $7.8 million in both 2022 and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for information on a loan commitment extended by the Company to another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Asset Acquisitions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15, 2019, a subsidiary of the Company paid $15.2 million cash to acquire certain residual portfolio rights. This asset acquisition became part of the Company's Consumer Payments reportable segment. The initial purchase price is subject to an increase of up to $6.4 million in accordance with the terms of the agreement between the Company and the sellers. As of March 31, 2021, an additional $4.3 million of the $6.4 million total contingent consideration has been paid to the seller, while the remaining $2.1 million will be payable in the first quarter of 2022 if certain criteria are achieved.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Legal Proceedings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The Company is involved in certain legal proceedings and claims which arise in the ordinary course of business. In the opinion of the Company and based on consultations with inside and outside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Risks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 and Warrant to Acquire</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2019, the Company, through one of its wholly-owned subsidiaries, executed an interest-bearing loan and commitment agreement with another entity. The Company has loaned the entity a total of $3.5 million at March 31, 2021 and December 31, 2020, with a commitment to loan up to a total of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 of Assets and Contingent Payment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In February 2019, a subsidiary of the Company, Priority Hospitality Technology, LLC ("PHOT"), received a contribution of substantially all of the operating assets of eTab, LLC ("eTab") and CUMULUS POS, LLC ("Cumulus") under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contribution agreements. No material liabilities were assumed by PHOT. These contributed assets were composed substantially of technology-related assets. Prior to these transactions, eTab was 80.0%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(6.0%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 PHOT is a part of the Company's Integrated Partners reportable segment.</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Pursuant to the limited liability company agreement of PHOT, any material undistributed earnings generated by the eTab and Cumulus assets that are attributable to the holders of the preferred equity interests are reported by the Company as a form of NCI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NCI in mezzanine equity. Such amounts were not material to the Company's results of operations, financial position, or cash flows for the period covering February 1, 2019 (date the assets were contributed to the Company) through June 30 2020, and therefore no recognition of the NCI was reflected in the Company's consolidated financial statements. For the period from July 1, 2020 through December 31, 2020, a total of $250,000 of PHOT's earnings were attributable to the NCIs of PHOT, and this same amount was also distributed in cash to the NCIs during the same reporting period. Such amounts were not material to the Company's results of operations, financial position, or cash flows for the three months ended March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Equity-Method Investment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2020, the Company wrote off its $0.2 million carrying value in an equity-method investment. This loss is reported as a component of Other expenses, net on the Company's unaudited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DEFICIT AND NON-CONTROLLING INTERESTS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222222"/>
        </w:rPr>
        <w:t xml:space="preserve">The Company is authorized to issue 100,000,000 shares of preferred stock with such designations, voting and other rights and preferences as may be determined from time to time by the board of directors. As of March 31, 2021 and December 31, 2020, the Company has not issued any shares of preferred stock. See Note 16, </w:t>
      </w:r>
      <w:r>
        <w:rPr>
          <w:rFonts w:ascii="Arial" w:cs="Arial" w:eastAsia="Arial" w:hAnsi="Arial"/>
          <w:sz w:val="17"/>
          <w:szCs w:val="17"/>
          <w:i w:val="1"/>
          <w:iCs w:val="1"/>
          <w:color w:val="222222"/>
        </w:rPr>
        <w:t>Subsequent Events</w:t>
      </w:r>
      <w:r>
        <w:rPr>
          <w:rFonts w:ascii="Arial" w:cs="Arial" w:eastAsia="Arial" w:hAnsi="Arial"/>
          <w:sz w:val="17"/>
          <w:szCs w:val="17"/>
          <w:color w:val="222222"/>
        </w:rPr>
        <w:t>, for information on the Securities Purchase Agreement the Company executed on April 27, 2021.</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for the periods presented for the components of which is the deficit attributable to stockholders of the Company and equity attributable to non-controlling interest: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8"/>
                <w:szCs w:val="18"/>
                <w:color w:val="auto"/>
                <w:w w:val="94"/>
              </w:rPr>
              <w:t>Preferred Stock</w:t>
            </w:r>
          </w:p>
        </w:tc>
        <w:tc>
          <w:tcPr>
            <w:tcW w:w="1380" w:type="dxa"/>
            <w:vAlign w:val="bottom"/>
            <w:gridSpan w:val="4"/>
          </w:tcPr>
          <w:p>
            <w:pPr>
              <w:jc w:val="right"/>
              <w:ind w:right="3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w w:val="90"/>
              </w:rPr>
              <w:t>Treasury Stock (a)</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Total Priority</w:t>
            </w:r>
          </w:p>
        </w:tc>
        <w:tc>
          <w:tcPr>
            <w:tcW w:w="0" w:type="dxa"/>
            <w:vAlign w:val="bottom"/>
          </w:tcPr>
          <w:p>
            <w:pPr>
              <w:spacing w:after="0"/>
              <w:rPr>
                <w:sz w:val="1"/>
                <w:szCs w:val="1"/>
                <w:color w:val="auto"/>
              </w:rPr>
            </w:pPr>
          </w:p>
        </w:tc>
      </w:tr>
      <w:tr>
        <w:trPr>
          <w:trHeight w:val="176"/>
        </w:trPr>
        <w:tc>
          <w:tcPr>
            <w:tcW w:w="39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CCEEFF"/>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Technology</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Additional</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50"/>
              <w:spacing w:after="0" w:line="176" w:lineRule="exact"/>
              <w:rPr>
                <w:sz w:val="20"/>
                <w:szCs w:val="20"/>
                <w:color w:val="auto"/>
              </w:rPr>
            </w:pPr>
            <w:r>
              <w:rPr>
                <w:rFonts w:ascii="Arial" w:cs="Arial" w:eastAsia="Arial" w:hAnsi="Arial"/>
                <w:sz w:val="18"/>
                <w:szCs w:val="18"/>
                <w:color w:val="auto"/>
                <w:w w:val="93"/>
              </w:rPr>
              <w:t>Holdings,</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10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w w:val="99"/>
              </w:rPr>
              <w:t>Accumulated</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6"/>
              </w:rPr>
              <w:t>Inc.</w:t>
            </w: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7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Amount</w:t>
            </w:r>
          </w:p>
        </w:tc>
        <w:tc>
          <w:tcPr>
            <w:tcW w:w="7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6"/>
              </w:rPr>
              <w:t>Amount</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Amount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Paid-In</w:t>
            </w:r>
          </w:p>
        </w:tc>
        <w:tc>
          <w:tcPr>
            <w:tcW w:w="1080" w:type="dxa"/>
            <w:vAlign w:val="bottom"/>
            <w:gridSpan w:val="3"/>
            <w:vMerge w:val="continue"/>
            <w:shd w:val="clear" w:color="auto" w:fill="CCEEFF"/>
          </w:tcPr>
          <w:p>
            <w:pPr>
              <w:spacing w:after="0"/>
              <w:rPr>
                <w:sz w:val="15"/>
                <w:szCs w:val="15"/>
                <w:color w:val="auto"/>
              </w:rPr>
            </w:pPr>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(Deficit)</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January 1, 2021</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67,391</w:t>
            </w:r>
          </w:p>
        </w:tc>
        <w:tc>
          <w:tcPr>
            <w:tcW w:w="8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5,769</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(102,013)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Equity-classified stock-based compensation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Vesting of stock-based compensation</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Liability-classified stock-based compensation</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converted to equity-classified</w:t>
            </w:r>
          </w:p>
        </w:tc>
        <w:tc>
          <w:tcPr>
            <w:tcW w:w="6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67,640</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(104,692)</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(99,755)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360" w:type="dxa"/>
            <w:vAlign w:val="bottom"/>
            <w:gridSpan w:val="5"/>
          </w:tcPr>
          <w:p>
            <w:pPr>
              <w:jc w:val="right"/>
              <w:ind w:right="160"/>
              <w:spacing w:after="0"/>
              <w:rPr>
                <w:sz w:val="20"/>
                <w:szCs w:val="20"/>
                <w:color w:val="auto"/>
              </w:rPr>
            </w:pPr>
            <w:r>
              <w:rPr>
                <w:rFonts w:ascii="Arial" w:cs="Arial" w:eastAsia="Arial" w:hAnsi="Arial"/>
                <w:sz w:val="18"/>
                <w:szCs w:val="18"/>
                <w:color w:val="auto"/>
                <w:w w:val="94"/>
              </w:rPr>
              <w:t>Preferred Stock</w:t>
            </w:r>
          </w:p>
        </w:tc>
        <w:tc>
          <w:tcPr>
            <w:tcW w:w="1360" w:type="dxa"/>
            <w:vAlign w:val="bottom"/>
            <w:gridSpan w:val="4"/>
          </w:tcPr>
          <w:p>
            <w:pPr>
              <w:jc w:val="right"/>
              <w:ind w:right="30"/>
              <w:spacing w:after="0"/>
              <w:rPr>
                <w:sz w:val="20"/>
                <w:szCs w:val="20"/>
                <w:color w:val="auto"/>
              </w:rPr>
            </w:pPr>
            <w:r>
              <w:rPr>
                <w:rFonts w:ascii="Arial" w:cs="Arial" w:eastAsia="Arial" w:hAnsi="Arial"/>
                <w:sz w:val="18"/>
                <w:szCs w:val="18"/>
                <w:color w:val="auto"/>
                <w:w w:val="99"/>
              </w:rPr>
              <w:t>Common Stock</w:t>
            </w:r>
          </w:p>
        </w:tc>
        <w:tc>
          <w:tcPr>
            <w:tcW w:w="80" w:type="dxa"/>
            <w:vAlign w:val="bottom"/>
            <w:shd w:val="clear" w:color="auto" w:fill="CCEEFF"/>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0"/>
              </w:rPr>
              <w:t>Treasury Stock (a)</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 Priority</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gridSpan w:val="3"/>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90"/>
              </w:rPr>
              <w:t>Technology</w:t>
            </w: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Additional</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5"/>
              </w:rPr>
              <w:t>Holdings,</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108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w w:val="99"/>
              </w:rPr>
              <w:t>Accumulated</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6"/>
              </w:rPr>
              <w:t>Inc.</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7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Amount</w:t>
            </w:r>
          </w:p>
        </w:tc>
        <w:tc>
          <w:tcPr>
            <w:tcW w:w="7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6"/>
              </w:rPr>
              <w:t>Amount</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Amount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Paid-In</w:t>
            </w:r>
          </w:p>
        </w:tc>
        <w:tc>
          <w:tcPr>
            <w:tcW w:w="1080" w:type="dxa"/>
            <w:vAlign w:val="bottom"/>
            <w:gridSpan w:val="3"/>
            <w:vMerge w:val="continue"/>
            <w:shd w:val="clear" w:color="auto" w:fill="CCEEFF"/>
          </w:tcPr>
          <w:p>
            <w:pPr>
              <w:spacing w:after="0"/>
              <w:rPr>
                <w:sz w:val="15"/>
                <w:szCs w:val="15"/>
                <w:color w:val="auto"/>
              </w:rPr>
            </w:pPr>
          </w:p>
        </w:tc>
        <w:tc>
          <w:tcPr>
            <w:tcW w:w="1080" w:type="dxa"/>
            <w:vAlign w:val="bottom"/>
            <w:gridSpan w:val="3"/>
            <w:shd w:val="clear" w:color="auto" w:fill="CCEEFF"/>
          </w:tcPr>
          <w:p>
            <w:pPr>
              <w:jc w:val="center"/>
              <w:ind w:right="80"/>
              <w:spacing w:after="0" w:line="176" w:lineRule="exact"/>
              <w:rPr>
                <w:sz w:val="20"/>
                <w:szCs w:val="20"/>
                <w:color w:val="auto"/>
              </w:rPr>
            </w:pPr>
            <w:r>
              <w:rPr>
                <w:rFonts w:ascii="Arial" w:cs="Arial" w:eastAsia="Arial" w:hAnsi="Arial"/>
                <w:sz w:val="18"/>
                <w:szCs w:val="18"/>
                <w:color w:val="auto"/>
                <w:w w:val="89"/>
              </w:rPr>
              <w:t>Stockholders'</w:t>
            </w: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6"/>
              </w:rPr>
              <w:t>NCI (b)</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(Deficit)</w:t>
            </w: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color w:val="auto"/>
              </w:rPr>
              <w:t>January 1, 2020</w:t>
            </w: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67,061</w:t>
            </w:r>
          </w:p>
        </w:tc>
        <w:tc>
          <w:tcPr>
            <w:tcW w:w="8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$(2,388)</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3,651</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(127,674)</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(126,343)</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Equity-classified stock-based</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6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140"/>
              <w:spacing w:after="0" w:line="202" w:lineRule="exact"/>
              <w:rPr>
                <w:sz w:val="20"/>
                <w:szCs w:val="20"/>
                <w:color w:val="auto"/>
              </w:rPr>
            </w:pPr>
            <w:r>
              <w:rPr>
                <w:rFonts w:ascii="Arial" w:cs="Arial" w:eastAsia="Arial" w:hAnsi="Arial"/>
                <w:sz w:val="18"/>
                <w:szCs w:val="18"/>
                <w:color w:val="auto"/>
              </w:rPr>
              <w:t>Net loss</w:t>
            </w:r>
          </w:p>
        </w:tc>
        <w:tc>
          <w:tcPr>
            <w:tcW w:w="6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(5,869)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
        </w:trPr>
        <w:tc>
          <w:tcPr>
            <w:tcW w:w="30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7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March 31, 2020</w:t>
            </w:r>
          </w:p>
        </w:tc>
        <w:tc>
          <w:tcPr>
            <w:tcW w:w="640" w:type="dxa"/>
            <w:vAlign w:val="bottom"/>
            <w:tcBorders>
              <w:top w:val="single" w:sz="8" w:color="CCEEFF"/>
            </w:tcBorders>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67,061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720" w:type="dxa"/>
            <w:vAlign w:val="bottom"/>
            <w:tcBorders>
              <w:top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451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(133,543)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(131,874)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cost</w:t>
      </w:r>
    </w:p>
    <w:p>
      <w:pPr>
        <w:spacing w:after="0" w:line="23" w:lineRule="exact"/>
        <w:rPr>
          <w:rFonts w:ascii="Arial" w:cs="Arial" w:eastAsia="Arial" w:hAnsi="Arial"/>
          <w:sz w:val="18"/>
          <w:szCs w:val="18"/>
          <w:color w:val="auto"/>
        </w:rPr>
      </w:pPr>
    </w:p>
    <w:p>
      <w:pPr>
        <w:jc w:val="both"/>
        <w:ind w:left="660" w:hanging="328"/>
        <w:spacing w:after="0" w:line="270"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222222"/>
        </w:rPr>
        <w:t xml:space="preserve">Prior to third quarter 2020, this balance was related to the acquisition of certain assets from YapStone, Inc. by the Company's PRET subsidiary during 2019. As part of the consideration for the assets acquired from YapStone, Inc. by PRET, YapStone, Inc. was issued a NCI in PRET with an initial estimated fair value and carrying value of $5,654,000. For all reporting periods since PRET's inception through June 30, 2020, no earnings or losses were attributable to the NCIs of PRET. During the three months ended September 30, 2020, a gain on a sale of assets from PRET resulted in the attribution of a total of </w:t>
      </w:r>
      <w:r>
        <w:rPr>
          <w:rFonts w:ascii="Arial" w:cs="Arial" w:eastAsia="Arial" w:hAnsi="Arial"/>
          <w:sz w:val="17"/>
          <w:szCs w:val="17"/>
          <w:color w:val="000000"/>
        </w:rPr>
        <w:t>$45.1 million to the NCIs of PRET. This amount was also distributed in a final redemption of the NCIs'</w:t>
      </w:r>
      <w:r>
        <w:rPr>
          <w:rFonts w:ascii="Arial" w:cs="Arial" w:eastAsia="Arial" w:hAnsi="Arial"/>
          <w:sz w:val="17"/>
          <w:szCs w:val="17"/>
          <w:color w:val="222222"/>
        </w:rPr>
        <w:t xml:space="preserve"> </w:t>
      </w:r>
      <w:r>
        <w:rPr>
          <w:rFonts w:ascii="Arial" w:cs="Arial" w:eastAsia="Arial" w:hAnsi="Arial"/>
          <w:sz w:val="17"/>
          <w:szCs w:val="17"/>
          <w:color w:val="000000"/>
        </w:rPr>
        <w:t xml:space="preserve">interests in PRET during the three months ended </w:t>
      </w:r>
      <w:r>
        <w:rPr>
          <w:rFonts w:ascii="Arial" w:cs="Arial" w:eastAsia="Arial" w:hAnsi="Arial"/>
          <w:sz w:val="17"/>
          <w:szCs w:val="17"/>
          <w:color w:val="222222"/>
        </w:rPr>
        <w:t>September 30, 2020</w:t>
      </w:r>
      <w:r>
        <w:rPr>
          <w:rFonts w:ascii="Arial" w:cs="Arial" w:eastAsia="Arial" w:hAnsi="Arial"/>
          <w:sz w:val="17"/>
          <w:szCs w:val="17"/>
          <w:color w:val="000000"/>
        </w:rPr>
        <w: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3" w:lineRule="exact"/>
        <w:rPr>
          <w:rFonts w:ascii="Arial" w:cs="Arial" w:eastAsia="Arial" w:hAnsi="Arial"/>
          <w:sz w:val="17"/>
          <w:szCs w:val="17"/>
          <w:color w:val="auto"/>
        </w:rPr>
      </w:pPr>
    </w:p>
    <w:p>
      <w:pPr>
        <w:ind w:left="5540" w:hanging="111"/>
        <w:spacing w:after="0"/>
        <w:tabs>
          <w:tab w:leader="none" w:pos="55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STOCK-BASED COMPENSATION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is included in Salary and employee benefits in the accompanying unaudited condensed consolidated statements of operations. The Company recognizes the effects of forfeitures on compensation expense as the forfeitures occur.</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Expense recognized for equity-classified stock compensation under the 2018 Equity Incentive Plan was $0.6 million and $0.3 million for the three months ended March 31, 2021 and March 31, 2020, respectively.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2021, the Company converted a $0.3 million liability-classified stock compensation accrual for restricted stock units under the 2018 Equity Incentive Plan, whereby the service inception date preceded the future grant-date, to an equity-classified award when the restricted stock units were granted.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for the stock-based compensation was not material for the three months ended March 31, 2021 and March 31, 2020.</w:t>
      </w:r>
    </w:p>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FAIR VALUE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and December 31, 2020, the Company no longer has any fair value estimates that are required to be remeasured at the end of each reporting period on a recurring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has provided for allowances when it believes that certain notes receivable may not be collectible. The fair value of the Company's notes receivable, net at March 31, 2021 and December 31, 2020 was approximately $6.9 million and $7.7 million, respectively. On the fair value hierarchy, Level 3 inputs are used to estimate the fair value of these notes receivable.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Borrower's outstanding debt obligations (see Note 7, </w:t>
      </w:r>
      <w:r>
        <w:rPr>
          <w:rFonts w:ascii="Arial" w:cs="Arial" w:eastAsia="Arial" w:hAnsi="Arial"/>
          <w:sz w:val="18"/>
          <w:szCs w:val="18"/>
          <w:i w:val="1"/>
          <w:iCs w:val="1"/>
          <w:color w:val="auto"/>
        </w:rPr>
        <w:t>Debt Obligations</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The fair value of the term loan facility under the Borrowers' Senior Credit Agreement at March 31, 2021 and December 31, 2020 was estimated to be approximately $275.2 million and $278.0 million, respectively. The fair value of these notes with a notional value and carrying value (gross of deferred costs and discounts) of $274.6 million and $279.4 million, respectively, was estimated using binding and non-binding quoted prices in an active secondary market, which considers the Borrowers' credit risk and market related conditions, and is within Level 3 of the fair value hierarchy.</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the Borrowers'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SEGMENT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the Company has three reportable segments that are reviewed by the Company's chief operating decision maker ("CODM"), who is the Company's Chief Executive Officer and Chairman. The Consumer Payments operating segment and the Integrated Partners operating segments are each reported as separate reportable segments. The Commercial Payments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Institutional Services (sometimes referred to as Managed Services) operating segments are aggregated into one reportable segment, Commercial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More information about our three reportable segments:</w:t>
      </w:r>
    </w:p>
    <w:p>
      <w:pPr>
        <w:spacing w:after="0" w:line="252" w:lineRule="exact"/>
        <w:rPr>
          <w:sz w:val="20"/>
          <w:szCs w:val="20"/>
          <w:color w:val="auto"/>
        </w:rPr>
      </w:pPr>
    </w:p>
    <w:p>
      <w:pPr>
        <w:jc w:val="both"/>
        <w:ind w:left="660" w:hanging="328"/>
        <w:spacing w:after="0" w:line="255"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219"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outsourced sales force to those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automation services to commercial customers.</w:t>
      </w:r>
    </w:p>
    <w:p>
      <w:pPr>
        <w:spacing w:after="0" w:line="197"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Integrated Partners – </w:t>
      </w:r>
      <w:r>
        <w:rPr>
          <w:rFonts w:ascii="Arial" w:cs="Arial" w:eastAsia="Arial" w:hAnsi="Arial"/>
          <w:sz w:val="18"/>
          <w:szCs w:val="18"/>
          <w:color w:val="auto"/>
        </w:rPr>
        <w:t>represents payment adjacent services that are provided primarily to the health care, real estate, and hospitality industries. In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2020, the Company sold a substantial portion of the assets of this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Corporate includes costs of corporate functions and shared services not allocated to the reportable segments.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revenues, consolidated income (loss) from operations, and consolidated depreciation and amortization are as follows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gridSpan w:val="4"/>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108,393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86,031</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Integrated Partners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r>
      <w:tr>
        <w:trPr>
          <w:trHeight w:val="248"/>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Consumer Payments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7,152</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Payments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Integrated Partners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r>
      <w:tr>
        <w:trPr>
          <w:trHeight w:val="223"/>
        </w:trPr>
        <w:tc>
          <w:tcPr>
            <w:tcW w:w="7620" w:type="dxa"/>
            <w:vAlign w:val="bottom"/>
          </w:tcPr>
          <w:p>
            <w:pPr>
              <w:ind w:left="360"/>
              <w:spacing w:after="0"/>
              <w:rPr>
                <w:sz w:val="20"/>
                <w:szCs w:val="20"/>
                <w:color w:val="auto"/>
              </w:rPr>
            </w:pPr>
            <w:r>
              <w:rPr>
                <w:rFonts w:ascii="Arial" w:cs="Arial" w:eastAsia="Arial" w:hAnsi="Arial"/>
                <w:sz w:val="18"/>
                <w:szCs w:val="18"/>
                <w:color w:val="auto"/>
              </w:rPr>
              <w:t>Consolidated income from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Payments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r>
      <w:tr>
        <w:trPr>
          <w:trHeight w:val="230"/>
        </w:trPr>
        <w:tc>
          <w:tcPr>
            <w:tcW w:w="7620" w:type="dxa"/>
            <w:vAlign w:val="bottom"/>
          </w:tcPr>
          <w:p>
            <w:pPr>
              <w:ind w:left="140"/>
              <w:spacing w:after="0"/>
              <w:rPr>
                <w:sz w:val="20"/>
                <w:szCs w:val="20"/>
                <w:color w:val="auto"/>
              </w:rPr>
            </w:pPr>
            <w:r>
              <w:rPr>
                <w:rFonts w:ascii="Arial" w:cs="Arial" w:eastAsia="Arial" w:hAnsi="Arial"/>
                <w:sz w:val="18"/>
                <w:szCs w:val="18"/>
                <w:color w:val="auto"/>
              </w:rPr>
              <w:t>Commercial Payments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Integrated Partners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r>
      <w:tr>
        <w:trPr>
          <w:trHeight w:val="248"/>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depreciation and amortization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net loss is provided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bottom w:val="single" w:sz="8" w:color="auto"/>
            </w:tcBorders>
            <w:shd w:val="clear" w:color="auto" w:fill="CCEEFF"/>
          </w:tcPr>
          <w:p>
            <w:pPr>
              <w:spacing w:after="0"/>
              <w:rPr>
                <w:sz w:val="19"/>
                <w:szCs w:val="19"/>
                <w:color w:val="auto"/>
              </w:rPr>
            </w:pPr>
          </w:p>
        </w:tc>
        <w:tc>
          <w:tcPr>
            <w:tcW w:w="3280" w:type="dxa"/>
            <w:vAlign w:val="bottom"/>
            <w:tcBorders>
              <w:bottom w:val="single" w:sz="8" w:color="auto"/>
            </w:tcBorders>
            <w:gridSpan w:val="4"/>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from operations of reportable segments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r>
      <w:tr>
        <w:trPr>
          <w:trHeight w:val="21"/>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12529"/>
        </w:rPr>
        <w:t xml:space="preserve">For the three months </w:t>
      </w:r>
      <w:r>
        <w:rPr>
          <w:rFonts w:ascii="Arial" w:cs="Arial" w:eastAsia="Arial" w:hAnsi="Arial"/>
          <w:sz w:val="16"/>
          <w:szCs w:val="16"/>
          <w:color w:val="000000"/>
        </w:rPr>
        <w:t>ended March 31, 2021 and March 31, 2020</w:t>
      </w:r>
      <w:r>
        <w:rPr>
          <w:rFonts w:ascii="Arial" w:cs="Arial" w:eastAsia="Arial" w:hAnsi="Arial"/>
          <w:sz w:val="16"/>
          <w:szCs w:val="16"/>
          <w:color w:val="212529"/>
        </w:rPr>
        <w:t>, no one merchant customer accounted for 10% or more of the Company's consolidated revenues. Most of the Company's merchant customers were referred to the Company by an ISO or other referral partners. If the Company's agreement with an ISO allows the ISO to have merchant portability rights, the ISO can potentially move the underlying merchant relationships to another merchant acquirer upon notice to the Company and completion of a "wind down" period. For the three months ended March 31, 2021 and March 31, 2020, merchants referred by one ISO organization with potential merchant portability rights generated revenue within the Company's Consumer Payments reportable segment that represented approximately 23.3% and 20.1%, respectively, of the Company's consolidated revenues.</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22, 2020, Priority Real Estate Technology, LLC (“PRET”), a majority-owned and consolidated subsidiary of the Company, sold certain assets comprising its RentPayment business, which was part of the Integrated Partners reportable segment. The allocation of net proceeds from the sale, after transaction costs, to the PRET members included the return of each member’s invested capital in PRET and excess proceeds were distributed in accordance with the distribution provisions of the PRET LLC governing agreement. Approximately $51.4 million and $45.1 million of the excess proceeds were distributed to the Company and the non-controlling interests, respectively. The initial allocation of net proceeds remained subject to final adjustment with the PRET members at December 31, 2020. During the first quarter of 2021, it was determined that an additional $0.5 million of the excess proceeds are due to the non-controlling interests, which amounts were accrued at March 31, 2021 and included in Other expenses, net in the unaudited condensed consolidated statement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RentPayment generated $3.8 million of revenue and $0.6 million of income from operations.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15.   LOSS PER COMMON SHARE</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940" w:type="dxa"/>
            <w:vAlign w:val="bottom"/>
          </w:tcPr>
          <w:p>
            <w:pPr>
              <w:spacing w:after="0"/>
              <w:rPr>
                <w:sz w:val="20"/>
                <w:szCs w:val="20"/>
                <w:color w:val="auto"/>
              </w:rPr>
            </w:pPr>
            <w:r>
              <w:rPr>
                <w:rFonts w:ascii="Arial" w:cs="Arial" w:eastAsia="Arial" w:hAnsi="Arial"/>
                <w:sz w:val="18"/>
                <w:szCs w:val="18"/>
                <w:color w:val="auto"/>
                <w:w w:val="93"/>
              </w:rPr>
              <w:t>The following tables set forth the computation of the Company's basic and diluted loss per common share:</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21"/>
        </w:trPr>
        <w:tc>
          <w:tcPr>
            <w:tcW w:w="7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00" w:type="dxa"/>
            <w:vAlign w:val="bottom"/>
            <w:gridSpan w:val="3"/>
          </w:tcPr>
          <w:p>
            <w:pPr>
              <w:spacing w:after="0"/>
              <w:rPr>
                <w:sz w:val="10"/>
                <w:szCs w:val="10"/>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23"/>
        </w:trPr>
        <w:tc>
          <w:tcPr>
            <w:tcW w:w="7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Less: Income attributable to non-controlling interests</w:t>
            </w: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7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Weighted-average common stock shares outstanding</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67,543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67,061</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Loss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Potentially anti-dilutive securities that were excluded from loss per common share for the three months ended March 31, 2021 and March 31, 2020 that could be dilutive in future periods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40" w:type="dxa"/>
            <w:vAlign w:val="bottom"/>
            <w:tcBorders>
              <w:bottom w:val="single" w:sz="8" w:color="auto"/>
            </w:tcBorders>
            <w:gridSpan w:val="3"/>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Common Stock Equivalents at</w:t>
            </w:r>
          </w:p>
        </w:tc>
      </w:tr>
      <w:tr>
        <w:trPr>
          <w:trHeight w:val="223"/>
        </w:trPr>
        <w:tc>
          <w:tcPr>
            <w:tcW w:w="7600" w:type="dxa"/>
            <w:vAlign w:val="bottom"/>
          </w:tcPr>
          <w:p>
            <w:pPr>
              <w:spacing w:after="0"/>
              <w:rPr>
                <w:sz w:val="19"/>
                <w:szCs w:val="19"/>
                <w:color w:val="auto"/>
              </w:rPr>
            </w:pPr>
          </w:p>
        </w:tc>
        <w:tc>
          <w:tcPr>
            <w:tcW w:w="188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 31, 2021</w:t>
            </w:r>
          </w:p>
        </w:tc>
        <w:tc>
          <w:tcPr>
            <w:tcW w:w="176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2020</w:t>
            </w: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warrants on common stock (1)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Outstanding options and warrants issued to adviser (1)</w:t>
            </w: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 (2)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stock option awards (2)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Issued by M.I. Acquisitions, Inc. prior to July 25, 2018</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Granted under the 2018 Equity Incentive Plan</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Agreement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5,2021, we announced that we had entered into an Agreement and Plan of Merger (the "Merger Agreement") with Finxera Holdings, Inc. ("Finxera"), Prime Warrior Acquisition Corp., an indirect wholly owned subsidiary of the Company ("Merger Sub") and solely in its capacity as the representative of the stockholders or optionholders of Finxera (the "Equityholder Representative"), Stone Point Capital, LLC. Priority will acquire, through a merger of Merger Sub with and into Finxera, the Finxera business. Finxera is a provider of deposit account management payment processing services to the debt settlement industry in the United States.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Merger Agreement provides that, among other things and on the terms and subject to the conditions of the Merger Agreement, (a) Merger Sub will merge with and into Finxera (the “Merger”), with the separate existence of Merger Sub ceasing and Finxera continuing as the surviving entity of the Merger (the “Surviving Entity”); (b) at the effective time of the Merger (the “Effective Time”) each share of common stock, par value $0.01 per share, of Merger Sub issued and outstanding immediately prior to the Effective Time shall be converted into one validly issued, fully paid and non-assessable share of common stock, par value $0.01 per share, of the Surviving Entity; and (c) the shares of common stock of Finxera designated as “Class A Common Stock”, “Class B Common Stock” and preferred stock “Series C Participating Preferred Stock” issued and outstanding immediately prior to the closing of the transactions contemplated by the Merger Agreement (the “Closing”) will be converted into rights to receive certain cash and stock consideration and a contingent right to receive a portion of any payments made following the determination of the purchase price adjustments (a “Deferred Payment”).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Consideration for the Merger will consist of a combination of cash and stock, with the purchase price comprising of: (a) $425,000,000, plus (b) the aggregate value of the current assets of the Finxera and each of its subsidiaries (the “Group Companies”) less the aggregate value of the current liabilities of the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option to purchase one or more shares of Class B Common Stock of Finxera issued pursuant to the Finxera Holdings, Inc. 2018 Equity Incentive Plan (the “Company Options”), vested as of immediately prior to the Closing (the “Vested Company Option”), that is issued and outstanding immediately prior to the Closing will be deemed to be exercised and converted into the right to receive a cash payment with respect to such Vested Company Option and a contingent right to receive a portion of any Deferred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27, 2021, we entered into a Securities Purchase Agreement (the “Purchase Agreement”) with credit funds managed by certain affiliates of Ares Management Corporation (the “Investors”), pursuant to which the Company (i) issued and sold 150,000 shares of senior preferred stock, par value $0.001 per share (the “Senior Preferred Stock”, and the shares issued the “Senior Preferred Shares”) at a purchase price of $150,000,000, or $1,000 per Senior Preferred Share (the “Initial Senior Preferred Stock Sale”), and (ii) issued warrants (the “Warrants”) to purchase up to 1,803,841 shares of the Company’s common stock, par value $0.001 per share (“Common Stock” and together with the Warrants, the “Securities”), at an exercise price $0.001. The exercise price and the number of shares issuable upon exercise of the warrants are subject to certain adjustments from time to time on the terms outlined in the Warrants.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issuance and sale of Senior Preferred Shares which pursuant to the Purchase Agreement, upon the consummation of the Company’s acquisition of Finxera and the satisfaction of other customary closing conditions, the Company will issue and sell to the Investors an additional 50,000 shares of Senior Preferred Stock, at a purchase price of $50,000,000, or $1,000 per share. The Company may also issue and sell to the Investors up to an additional 50,000 shares of Senior Preferred Stock, at a purchase price of $1,000 per share within 18 months after the consummation of the Acquisition Senior Preferred Stock Sale upon the satisfaction of certain customary closing conditions.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proceeds from the sale of the Securities to fund the Refinancing (as defined below) and to pay certain fees and expenses relating to the Refinancing and the offering of the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(the “Registration Rights Agreement”), pursuant to which the Company agreed to provide certain registration rights with respect to the shares of Common Stock issuable upon exercise of the Warrants (the “Registrable Securities”).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(i) piggyback rights to be included in certain underwritten offerings of Common Stock and (ii) the right to demand a shelf registration of Registrable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Agreement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27, 2021, Priority Holdings, LLC, a Delaware limited liability company (“Holdings”), which is a direct wholly-owned subsidiary of the Company, and certain direct and indirect subsidiaries of Holdings (together with Holdings, collectively, the “Loan Parties”), entered into a Credit and Guaranty Agreement (the “Credit Agreement”) with Truist Bank (“Truist”) and the lenders party thereto, pursuant to which Holdings has access to senior credit facilities in an aggregate principal amount of $630.0 million which are secured by substantially all of the assets of the Loan Parties and by the equity interests of Holdings.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facilities under the Credit Agreement are comprised of (i) a senior secured first lien term loan facility in an aggregate principal amount of $300,000,000 (the “Initial Term Loan”), the proceeds of which have been used to fund the Refinancing, (ii) a senior secured revolving credit facility in an aggregate amount not to exceed $40,000,000 outstanding at any time and (iii) a senior secured first lien delayed draw term loan facility in an aggregate principal amount of $290,000,000, the proceeds of which may be used to fund the Company’s acquisition of Finxera.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Credit Agreement, prepayments of outstanding principal may be made in permitted increments with a 1.0% penalty for certain prepayments made in connection with repricing transactions. Such premium will be based on the principal amount that is prepaid, subject to the terms of the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outstanding amount of any loans and any other amounts owing by the Loan Parties under the Credit Agreement may, after the occurrence of an Event of Default (as defined in the Credit Agreement), at the option of Truist, be declared immediately due and payable. Events of Default include, without limitation, the failure of the Loan Parties to pay principal, premium or interest when due under the Credit Agreement, or the failure by the Loan Parties to perform or comply with any term or covenant in the Credit Agreement, in each case, subject to any applicable cure periods provided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of the Loan Parties to the Loan Parties Consolidated Adjusted EBITDA (as defined in the Credit Agreement). If applicable, the maximum permitted Total Net Leverage Ratio is (i) 6.50:1.00 at each fiscal quarter ended September 30, 2021 through June 30, 2022, (ii) 6.00:1.00 at each fiscal quarter ended September 30, 2022 through June 30, 2023, and (iii) 5.50:1.00 at each fiscal quarter ended September 30, 2023 each fiscal quarter thereafter.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Holdings and certain other Loan Parties have previously entered into (A) the Term Loan Agreement and (B) the Senior Credit Agreement, the proceeds from the sale of the Securities and from the Initial Term Loan were used to refinance the Term Loan Agreement and the Senior Credit Agreement and all outstanding obligations thereunder were repaid in full (or in the case of outstanding undrawn letters of credit, deemed issued under the Credit Agreement), and all commitments and guaranties in connection therewith have been terminated or released (the “Refinancing”).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Residual Purchase Agreement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28, 2021, a subsidiary of the Company completed an asset acquisition of certain residual portfolio rights for a purchase price of $42.4 million. The seller’s note payable to the Company of $5.0 million at the time of the purchase was netted against the purchase price, resulting in cash of $37.4 million being paid by the Company to the seller, which was funded from cash proceeds of the Securities Purchase Agreement executed on April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2020, 2019 and 2018 and the section entitled "Management's Discussion and Analysis of Financial Condition and Results of Operations," included in the Company's Annual Report on Form 10-K filed with the U.S. Securities and Exchange Commission on March 31, 2021 (the "Annual Report").</w:t>
      </w: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21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this Quarterly Report or our Annual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available relevant information. These statements are inherently uncertain, and investors are cautioned not to unduly rely upon these statements.</w:t>
      </w:r>
    </w:p>
    <w:p>
      <w:pPr>
        <w:spacing w:after="0" w:line="2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5, 2021, we announced that we had entered into an Agreement and Plan of Merger (the “Merger Agreement”) with Finxera Holdings, Inc. (“Finxera”), Prime Warrior Acquisition Corp., an indirect wholly owned subsidiary of the Company (“Merger Sub”) and, solely in its capacity as the representative of the stockholders or optionholders of Finxera (the “Equityholder Representative”), Stone Point Capital LLC. Priority will acquire, through a merger of Merger Sub with and into Finxera, the Finxera business. Finxera is a provider of deposit account management payment processing services to the debt settlement industry in the United States.</w:t>
      </w:r>
    </w:p>
    <w:p>
      <w:pPr>
        <w:spacing w:after="0" w:line="21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Merger Agreement provides that, among other things and on the terms and subject to the conditions of the Merger Agreement, (a) Merger Sub will merge with and into Finxera (the “Merger”), with the separate existence of Merger Sub ceasing and Finxera continuing as the surviving entity of the Merger (the “Surviving Entity”); (b) at the effective time of the Merger (the “Effective Time”) each share of common stock, par value $0.01 per share, of Merger Sub issued and outstanding immediately prior to the Effective Time shall be converted into one validly issued, fully paid and non-assessable share of common stock, par value $0.01 per share, of the Surviving Entity; and (c) the shares of common stock of Finxera designated as “Class A Common Stock”, “Class B Common Stock” and preferred stock “Series C Participating Preferred Stock” issued and outstanding immediately prior to the closing of the transactions contemplated by the Merger Agreement (the “Closing”) will be converted into rights to receive certain cash and stock consideration and a contingent right to receive a portion of any payments made following the determination of the purchase price adjustments (a “Deferred Payment”).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Consideration for the Merger will consist of a combination of cash and stock, with the purchase price comprising of: (a) $425,000,000, plus (b) the aggregate value of the current assets of the Finxera and each of its subsidiaries (the “Group Companies”) less the aggregate value of the current liabilities of the Group Companies, in each case, determined on a consolidated basis without duplication, as of the close of business on the business day immediately preceding the date of the Closing (which may be a positive or negative number), plus (c) the sum of all cash and cash equivalents of the Group Companies as of the close of business on the business day immediately preceding the date of the Closing, minus (d) the amount of indebtedness of the Group Companies as of the close of the business day immediately prior to the date of the Closing, minus (e) the amount of unpaid transaction expenses, minus (f) 25% of the earnings of the Group Companies during the period between the signing of the Merger Agreement and the Closing.</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Each option to purchase one or more shares of Class B Common Stock of Finxera issued pursuant to the Finxera Holdings, Inc. 2018 Equity Incentive Plan (the “Company Options”), vested as of immediately prior to the Closing (the “Vested Company Option”), that is issued and outstanding immediately prior to the Closing will be deemed to be exercised and converted into the right to receive a cash payment with respect to such Vested Company Option and a contingent right to receive a portion of any Deferred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Purchase Agreement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28, 2021, a subsidiary of the Company completed an asset acquisition of certain residual portfolio rights for a purchase price of $42.4 million. The seller’s note payable to the Company of $5.0 million at the time of the purchase was netted against the purchase price, resulting in cash of $37.4 million being paid by the Company to the seller, which was funded from cash proceeds of the Securities Purchase Agreement executed on April 27,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section includes a discussion and analysis of our results of operations for the three months ended March 31, 2021 (or first quarter 2021) compared to the three months ended March 31, 2020 (or first quarter 2020).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our latest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Compared to the Three Months Ended March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20" w:type="dxa"/>
            <w:vAlign w:val="bottom"/>
            <w:shd w:val="clear" w:color="auto" w:fill="CCEEFF"/>
          </w:tcPr>
          <w:p>
            <w:pPr>
              <w:spacing w:after="0"/>
              <w:rPr>
                <w:sz w:val="19"/>
                <w:szCs w:val="19"/>
                <w:color w:val="auto"/>
              </w:rPr>
            </w:pPr>
          </w:p>
        </w:tc>
        <w:tc>
          <w:tcPr>
            <w:tcW w:w="3340" w:type="dxa"/>
            <w:vAlign w:val="bottom"/>
            <w:gridSpan w:val="5"/>
            <w:shd w:val="clear" w:color="auto" w:fill="CCEEFF"/>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113,297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r>
      <w:tr>
        <w:trPr>
          <w:trHeight w:val="196"/>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Costs of services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81,863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23.4 %</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Salary and employee benefits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25.4 %</w:t>
            </w:r>
          </w:p>
        </w:tc>
      </w:tr>
      <w:tr>
        <w:trPr>
          <w:trHeight w:val="223"/>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15,396</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16.5 %</w:t>
            </w:r>
          </w:p>
        </w:tc>
      </w:tr>
      <w:tr>
        <w:trPr>
          <w:trHeight w:val="142"/>
        </w:trPr>
        <w:tc>
          <w:tcPr>
            <w:tcW w:w="4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29"/>
        </w:trPr>
        <w:tc>
          <w:tcPr>
            <w:tcW w:w="4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27.2 %</w:t>
            </w:r>
          </w:p>
        </w:tc>
      </w:tr>
      <w:tr>
        <w:trPr>
          <w:trHeight w:val="250"/>
        </w:trPr>
        <w:tc>
          <w:tcPr>
            <w:tcW w:w="4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expenses, net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(22.3)%</w:t>
            </w:r>
          </w:p>
        </w:tc>
      </w:tr>
      <w:tr>
        <w:trPr>
          <w:trHeight w:val="223"/>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expenses, net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80.9 %</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three months ended March 31, 2021 compared to the three months ended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60" w:type="dxa"/>
            <w:vAlign w:val="bottom"/>
            <w:shd w:val="clear" w:color="auto" w:fill="CCEEFF"/>
          </w:tcPr>
          <w:p>
            <w:pPr>
              <w:spacing w:after="0"/>
              <w:rPr>
                <w:sz w:val="19"/>
                <w:szCs w:val="19"/>
                <w:color w:val="auto"/>
              </w:rPr>
            </w:pPr>
          </w:p>
        </w:tc>
        <w:tc>
          <w:tcPr>
            <w:tcW w:w="3500" w:type="dxa"/>
            <w:vAlign w:val="bottom"/>
            <w:gridSpan w:val="5"/>
            <w:shd w:val="clear" w:color="auto" w:fill="CCEEFF"/>
          </w:tcPr>
          <w:p>
            <w:pPr>
              <w:ind w:left="280"/>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Consumer Payments:</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108,393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86,031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95,030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78,879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7,152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86.8 %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8,583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11,871,939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10,386,748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1,485,191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29"/>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127,488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119,431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Commercial Payments:</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5,604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income from operations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12.0 %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Key Indicators: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63,477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72,677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52.0 %</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Integrated Partners: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4,534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162"/>
        </w:trPr>
        <w:tc>
          <w:tcPr>
            <w:tcW w:w="4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Key Indicators:</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124,518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(113,146)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13,046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8,284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Corporate expense</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Consolidated income from operations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depreciation and amortization</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indicators: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11,946,788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10,583,943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1,362,845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127,621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119,904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Results and Trends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outbreak of COVID-19 in the United States, which was declared a pandemic by the World Health Organization on March 11, 2020, adversely affected commercial activity and contributed to a significant decline in economic activity in 2020.</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Starting in mid-March 2020 through April 2020, COVID-19 had a significant negative affect on our results. This impact was evident in a decline in merchant bankcard volume and revenue during the period of restrictive shelter-in-place requirements instituted across the United States toward the end of March 2020 through April 2020. In May 2020, as shelter in place restrictions began to be lifted and regional economies started to reopen, our processing volumes began to return and revenue growth was supplemented by the acceleration of certain specialized product offerings and ecommerce payment transactions. This recovery momentum continued through the second half of 2020 and first quarter of 2021.</w:t>
      </w:r>
    </w:p>
    <w:p>
      <w:pPr>
        <w:spacing w:after="0" w:line="2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While there continues to be considerable uncertainty regarding the future economic impacts of the pandemic, our operating results reflect a recovery from the negative affects during the months immediately following the pandemic declaration. The pandemic’s future impact on the overall economy and our results are beyond our ability to predict or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consolidated revenue in first quarter 2021 of $113.3 million increased by $16.4 million, or 16.9%, from revenue in first quarter 2020 of $96.9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 growth of $22.4 million in our Consumer Payments segment was partially offset by revenue declines of $2.9 million and $3.1 million 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Commercial Payments and Integrated Partners segments,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Revenue in Consumer Payments segment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payments revenue in first quarter 2021 of $108.4 million increased $22.4 million, or 26.0%, compared to revenue in first quarter 2020 of $86.0 million. This increase was driven by $9.7 million, or 372.1%, revenue growth from high-margin specialized ecommerce merchants, and $12.7 million, or 15.2%, revenue growth in our base consumer payments business. The commencement of the COVID-19 pandemic in March 2020 reduced our merchant bankcard volume and revenue during the period of restrictive shelter-in-place requirements instituted across the United States. This impact to first quarter 2020 revenue contributed to first quarter 2021 comparative revenue growth, but the pandemic’s precise impact to March 2020 revenue is not quantifiable by the Company.</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Merchant bankcard processing dollar value in the first quarter of 2021 of $11.9 billion increased by $1.5 billion, or 14.3%, as compared with $10.4 billion in the first quarter of 2020. Merchant bankcard transactions of 127.5 million in the first quarter of 2021 increased by 6.7%, as compared with 119.4 million in the first quarter of 2020. Average ticket of $93.12 in first quarter 2021 increased 7.1%, as compared with $86.97 in first quarter 2020. COVID-19 pandemic economic factors have impacted merchant volume mix and spending trends. Following the pandemic declaration in March 2020, consumers began to conduct fewer payment transactions at higher average tickets, and card-not-present transactions increased. Card-not-present volume generally offers more favorable pricing to us than other types of transactions. In the first quarter 2021, we experienced growth in both payment transactions and average ticket. The trend of new merchant boarding remains within our historical range of 4,500 to 5,000 new merchants per month. During first quarter 2021, our monthly average of new merchants boarded was 4,874 compared with 5,139 in first quarter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Revenue in Commercial Payments segment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Payments revenue in first quarter 2021 of $3.5 million decreased by $2.9 million, or 45.0%, compared to revenue in first quarter 2020 of $6.4 million. Revenue in this segment is derived primarily from the accounts payable automated solutions business and from our curated managed services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 accounts payable automated solutions business in first quarter 2021 of $1.7 million increased $0.1 million, or 5.3%, from $1.6 million in first quarter 2020. This increase was due to increased business from existing customers. Revenue from our curated managed services business in first quarter 2021 of $1.8 million decreased by $3.0 million, or 61.8%, from revenue in first quarter 2020 of $4.8 million. This decrease was driven by a decline and curtailment in 2020 of a customer’s merchant financing program in response to the COVID related economic conditions and subsequent changes in the customer’s business model.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Revenue in Integrated Partners segment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Integrated Partners revenue in first quarter 2021 of $1.4 million decreased by $3.1 million, or 69.0%, compared to revenue in first quarter 2020 of $4.5 million. Priority Real Estate Technology, LLC ("PRET") comprised $0.8 million and $4.0 million of this segment's revenue in first quarter 2021 and first quarter 2020, respectively. Through September 22, 2020, PRET was comprised of our RentPayment business and our Landlord Station business. RentPayment, which was sold on September 22, 2020, generated revenue of $3.8 million in first quarter 2020. Simultaneous with this sale, PRET entered into revenue-producing agreements with the buyer to provide ongoing technology support and payment processing services, which offers us an opportunity to expand this relationship and provide payment processing services to existing customers of the buyer. Revenue of $0.8 million from PRET’s ongoing business increased $0.7 million, or 578.8%, compared with revenue of $0.1 million in the first quarter 2020. Priority PayRight Health Solutions ("PayRight") and Priority Hospitality Technology ("PHOT") comprise the remainder of this segment's revenue.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consolidated operating expenses in first quarter 2021 of $108.8 million increased $15.4 million, or 16.5%, from consolidated operating expenses in first quarter 2020 of $93.4 million. This overall increase was driven by an increase in costs of services of $15.5 million, or 23.4%, resulting from higher revenues in first quarter 2021. Depreciation and amortization expense of $9.1 million decreased by $1.2 million, or 11.7%, in first quarter 2021. Salary and employee benefits expenses of $9.5 million decreased $0.6 million, or 5.7%, in first quarter 2021 driven by lower comparative headcount. Selling, general and administrative expenses ("SG&amp;A") of $8.3 million increased $1.7 million, or 25.4% in the first quarter 2021 from $6.6 million in first quarter 2020. During the first quarter 2021, Corporate SG&amp;A included $3.6 million of professional fees and expenses incurred in connection with the pending acquisition of Finxera, the April 2021 debt refinancing, and the April 2021 issuance of preferred stock. During the first quarter 2020, Corporate SG&amp;A included $0.5 million of professional fees and expenses incurred in connection with the March 2020 amendment of the debt facility, and Integrated Partners SG&amp;A included $0.9 million of acquisition-related transition services.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 Compared to Three Months Ended March 31, 2020</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income from operations in first quarter 2021 of $4.5 million increased by $1.0 million, or 27.2%, from $3.6 million in first quarter 2020. This increase was the result of lower depreciation and amortization expense of $1.2 million, lower salary and employee benefits expenses of $0.6 million, and higher revenues less costs of services of $0.9 million. These favorable changes for first quarter 2021 were partially offset by higher SG&amp;A of $1.7 million, driven by the $2.2 million increase in professional fees and other expenses described above under Consolidated Operating Expenses.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Consumer Payments segment contributed $13.4 million in income from operations for first quarter 2021, an increase of $6.2 million, or 86.8%, from $7.2 million in first quarter 2020. The main driver of this increase was higher revenue less costs of services of $5.5 million. Income from operations also benefited from a $0.5 million decrease in SG&amp;A and a $0.2 million decrease in salary and employee benefits.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Commercial Payments segment had a loss from operations of $0.4 million for first quarter 2021 compared to income from operations of $0.8 million for first quarter 2020. This decline was largely driven by lower revenues less costs of services of $1.4 million, resulting from the revenue decline in our curated managed services, slightly offset by a net decrease in salary and employee benefits and SG&amp;A.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Integrated Partners segment earned income from operations of $0.1 million for first quarter 2021, a decrease of $0.3 million compared to $0.4 million of income from operations for first quarter 2020. The decrease was driven by the September 2020 sale of PRET’s RentPayment business. Revenues less costs of services decreased by $3.2 million, which was largely offset by decreases in SG&amp;A of $1.2 million, business depreciation and amortization of $1.2 million and salary and employee benefits of $0.6 million.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were $8.5 million for first quarter 2021, an increase of $3.8 million from expenses of $4.7 million for first quarter 2020. This increase was driven by a $3.1 million increase in professional fees and expenses described above under Consolidated Operating Expenses. Salaries and employee benefits increased $0.6 million largely due to higher incentive compensation accruals.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first quarter 2021 decreased by $1.1 million, or 11.1%, from $10.3 million in first quarter 2020. This decline was driven by lower outstanding debt. In September 2020, proceeds from the RentPayment sale were used to repay $106.5 million of Senior indebtedness. During the third and fourth quarters of 2020, $14.5 million of outstanding revolving credit was repaid.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expense includes cash interest, payment-in-kind interest, and amortization of deferred financing costs and debt discounts. During the first quarters of 2021 and 2020, interest expense was comprised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4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gridSpan w:val="4"/>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8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Payment-in-kind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and other</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3"/>
        </w:trPr>
        <w:tc>
          <w:tcPr>
            <w:tcW w:w="80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w:t>
            </w:r>
          </w:p>
        </w:tc>
      </w:tr>
      <w:tr>
        <w:trPr>
          <w:trHeight w:val="20"/>
        </w:trPr>
        <w:tc>
          <w:tcPr>
            <w:tcW w:w="8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22222"/>
        </w:rPr>
        <w:t>We assess all available positive and negative evidence to estimate whether sufficient taxable income will be generated in the future to permit use of the existing deferred tax assets. ASC 740, Income Taxes ("ASC 740"), requires that all sources of future taxable income be considered in making this determination. The Tax Cuts and Jobs Act of 2017 amended section 163(j) of the Internal Revenue Code. Section 163(j), as amended,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 In March 2020, the Coronavirus Aid, Relief, and Economic Security Act ("CARES Act") was enacted, which among other provisions, provides for the increase of the 163(j) ATI limitation from 30% to 50% for tax years 2019 and 2020.</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22222"/>
        </w:rPr>
        <w:t>With respect to recording a deferred tax benefit for the carryforward of business interest expense, GAAP applies a "more likely than not" threshold for assessing recoverability. Based on management’s assessment, as of the first quarter of 2021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222222"/>
        </w:rPr>
        <w:t>We compute our interim period income tax expense or benefit by using a forecasted estimated annual effective tax rate ("EAETR") and adjust for any discrete items arising during the interim period and any changes in our projected full-year business interest expense and taxable income. The EAETR for 2021 is 40.8% and includes the income tax provision on pre-tax</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222222"/>
        </w:rPr>
        <w:t>income and a tax provision related to establishment of a valuation allowance for deferred income tax on the future portion of the Section 163(j) limitation created by additional 2021 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sheets as of March 31, 2021 or December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There have been no significant changes to our contractual obligations compared to those disclosed in "Management's Discussion and Analysis of Financial Condition and Results of Operations of Priority" included in the Annual Report for the year ended December 31, 2020, except for changes in the minimum annual spend commitments with third-party processor partners as further described in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an updated schedule of debt repayments, see Note 7, </w:t>
      </w:r>
      <w:r>
        <w:rPr>
          <w:rFonts w:ascii="Arial" w:cs="Arial" w:eastAsia="Arial" w:hAnsi="Arial"/>
          <w:sz w:val="17"/>
          <w:szCs w:val="17"/>
          <w:i w:val="1"/>
          <w:iCs w:val="1"/>
          <w:color w:val="auto"/>
        </w:rPr>
        <w:t>Debt Obligations.</w:t>
      </w:r>
      <w:r>
        <w:rPr>
          <w:rFonts w:ascii="Arial" w:cs="Arial" w:eastAsia="Arial" w:hAnsi="Arial"/>
          <w:sz w:val="17"/>
          <w:szCs w:val="17"/>
          <w:color w:val="auto"/>
        </w:rPr>
        <w:t xml:space="preserve"> Also, at December 31, 2020, the Company accrued approximately $6.2 million for the remaining cash consideration it estimates it will be required to pay under an assignment of merchant portfolio rights agreement and related reseller agreement it executed with a third-party in October 2019. Payments are required to be made on a quarterly basis through September 30, 2022. The Company continues to review its estimate of the remaining consideration to be paid and will adjust its obligation accordingly if deemed necessary. As of March 31, 2021, the only change in the amounts accrued was for the required payment made in the first quarter of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the unaudited condensed consolidated financial statements contained in Part I, Item 1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most recent Annual Report on Form 10-K. There have been no material changes to these critical accounting policies and estimates as of March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8"/>
          <w:szCs w:val="18"/>
          <w:i w:val="1"/>
          <w:iCs w:val="1"/>
          <w:color w:val="auto"/>
        </w:rPr>
        <w:t>Basis of Presentation and Significant Accounting Policies</w:t>
      </w:r>
      <w:r>
        <w:rPr>
          <w:rFonts w:ascii="Arial" w:cs="Arial" w:eastAsia="Arial" w:hAnsi="Arial"/>
          <w:sz w:val="18"/>
          <w:szCs w:val="18"/>
          <w:color w:val="auto"/>
        </w:rPr>
        <w:t>, to our unaudited condensed consolidated financial statements included in Part 1, Item 1 of this Quarterly Report on Form 10-Q for a discussion of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consolidated balance sheet as of December 31, 2020, the following key changes have occurred at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Unrestricted cash decreased by $3.4 million during the first quarter 2021. Net unrestricted cash provided by operating activities of $6.5 million was offset by $5.7 million used in investing activities and $4.2 million of net cash used in financing activities. Cash used in investing activities was comprised of capitalized software development of $1.5 million, purchases of property and equipment of $1.2 million, and payment of December 31, 2020 accrued liabilities for intangible asset acquisitions of $2.9 million. Net cash used in financing activities was comprised of a $4.9 million scheduled debt repayment under our Senior Credit Agreement and $0.6 million of proceeds from the exercise of stock options.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Restricted cash decreased by $19.9 million in first quarter 2021, attributable to the timing of operating activities related to disbursement and receipt of cash held on behalf of customers. This decrease resulted from net disbursement of $21.9 million of settlement obligations and net receipt of $2.0 million of customer deposits and advance payments.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net of accumulated amortization, decreased $7.0 million during the first quarter of 2021, resulting from amortization expense of $7.0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Outstanding amounts for our debt obligations under that certain Credit and Guaranty Agreement, dated as of January 3, 2017, with Truist (the “Senior Credit Agreement”) and that certain Credit and Guaranty Agreement, dated as of January 3, 2017, with Goldman Sachs Specialty Lending Group, L.P. (the “Term Loan Agreement”) decreased by a net of $2.9 million during the first three months of 2021. This decrease was attributable to principal repayments of $4.9 million for Senior debt, partially offset by PIK interest of $1.9 million under our Term Loan Agreement. See the additional discussion about our debt obligations in the subsequent section for Liquidity and Capital Resources.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3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Stockholders' deficit attributable to the stockholders of the Company increased by $1.2 million, from a deficit of $98.6 million at December 31, 2020 to a deficit of $99.8 million at March 31, 2021. The primary driver of this change was the net loss attributable to stockholders of the Company of $2.7 million, partially offset by $1.5 million of increases to additional paid-in capital for equity-based stock compensation and proceeds from stock options.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facility are sufficient to meet our working capital requirements for at least the next twelve months. This is based upon management’s estimates and assumptions utilizing the most currently available information regarding the effects of the COVID-19 pandemic on our financial results. Actual future results could differ materially, as the magnitude, duration and effects of the COVID-19 pandemic are difficult to predict, and ultimately could negatively impact our liquidity, capital resources, and debt covenant compliance.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working capital, defined as current assets less current liabilities, was $(18.0) million and $(13.0) million at March 31, 2021 and December 31, 2020, respectively. The current portion of long-term debt was $24.3 million and $19.4 million at March 31, 2021 and December 31, 2020, respectively. On April 27, 2021, we refinanced our credit agreements, which reduced the current portion of long-term debt to $3.0 million, improved our working capital and increased our revolving credit facility to $40 million. (See the additional discussion about our debt refinancing in the subsequent section for Credit and Guaranty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no outstanding borrowings under the $25.0 million revolving credit facility of our Senior Credit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periods:</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21"/>
        </w:trPr>
        <w:tc>
          <w:tcPr>
            <w:tcW w:w="8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40" w:type="dxa"/>
            <w:vAlign w:val="bottom"/>
            <w:gridSpan w:val="3"/>
          </w:tcPr>
          <w:p>
            <w:pPr>
              <w:spacing w:after="0"/>
              <w:rPr>
                <w:sz w:val="10"/>
                <w:szCs w:val="10"/>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6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8"/>
              </w:rPr>
              <w:t>Quarter ended March 31,</w:t>
            </w:r>
          </w:p>
        </w:tc>
      </w:tr>
      <w:tr>
        <w:trPr>
          <w:trHeight w:val="223"/>
        </w:trPr>
        <w:tc>
          <w:tcPr>
            <w:tcW w:w="8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(13,426)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(7,254)</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restricted cash</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which includes changes in restricted cash, was $13.4 million in first quarter 2021 compared to net cash used in operating activities of $7.3 million in first quarter 2020. Restricted cash operating activities, which are operating activities related to disbursement and receipt of restricted cash held on behalf of customers, used $19.9 million of cash in first quarter 2021 and used $10.4 million of cash in first quarter 2020. This comparative change in cash is driven by timing of customer pre-funding and disbursement activities. Unrestricted cash activities provided $6.5 million of cash in first quarter 2021 and provided $3.1 million of cash in first quarter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$5.7 million in the first quarter 2021 compared to net cash used in investing activities of $3.2 million in the first quarter of 2020. Cash used to fund a portfolio acquisition and a contingent portion of a residual buyout amounted to $2.9 million and $0.9 million in the first quarter of 2021 and 2020, respectively. Cash used to acquire property, equipment, and software amounted to $2.8 million and $2.3 million in the first quarter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was $4.2 million in the first quarter 2021 compared to net cash used of $0.3 million in the first quarter 2020. In first quarter 2021, Senior debt principal repayments of $4.9 million were partially offset by $0.6 million of proceeds from the exercise of stock options. In the first quarter of 2020, Senior debt principal repayments of $1.0 million and debt modification costs of $2.7 million were largely offset by $3.5 million of borrowings under our revolving credit facility.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at March 31, 2021</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outstanding long-term debt of $379.1 million compared to $382.0 million at December 31, 2020, a decrease of $2.9 million. The debt balance at March 31, 2021 consisted of outstanding term debt of $274.6 million under the Senior Credit Agreement and $104.5 million in term debt under the Subordinated Term Loan Facility. Additionally, under the Senior Credit Facility, we have a $25 million revolving credit facility, which was fully available as of March 31, 2021.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outstanding principal amounts under the Senior Credit Facility and the Term Loan Agreement mature in January 2023 and July 2023, respectively. The $25 million revolving credit facility expires in January 2022.</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March 31, 2021, we were in compliance with our financial covenants. Total Net Leverage Ratio, Consolidated Total Debt, and Consolidated Adjusted EBITDA are defined in Section 1.01 of Exhibit A to the Sixth Amendment to the Senior Credit Agreement and are summarized below:</w:t>
      </w:r>
    </w:p>
    <w:p>
      <w:pPr>
        <w:spacing w:after="0" w:line="17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Net Leverage Ratio means, at any date of determination, the ratio of Consolidated Total Debt for such date, to Consolidated Adjusted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37"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Consolidated Total Debt is the aggregate principal amount of indebtedness minus the aggregate amount of unrestricted cash at the balance sheet date.</w:t>
      </w:r>
    </w:p>
    <w:p>
      <w:pPr>
        <w:spacing w:after="0" w:line="197" w:lineRule="exact"/>
        <w:rPr>
          <w:rFonts w:ascii="Arial" w:cs="Arial" w:eastAsia="Arial" w:hAnsi="Arial"/>
          <w:sz w:val="18"/>
          <w:szCs w:val="18"/>
          <w:color w:val="auto"/>
        </w:rPr>
      </w:pPr>
    </w:p>
    <w:p>
      <w:pPr>
        <w:jc w:val="both"/>
        <w:ind w:left="660" w:right="14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Consolidated Adjusted EBITDA is consolidated net income plus any applicable items determined in accordance with clauses (i)(b) through (i)(v) of the Consolidated Adjusted EBITDA definition, minus any applicable items determined in accordance with clauses (ii)(a) through (ii)(g) of the Consolidated Adjusted EBITDA definition in Section 1.01 of the Sixth Amendment ("Applicable Adjustments").</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provisions of the Sixth Amendment, for interim quarterly and full year measurement periods commencing in January 2021, calculation of Consolidated Adjusted EBITDA is determined on a last twelve months basis.</w:t>
      </w:r>
    </w:p>
    <w:p>
      <w:pPr>
        <w:spacing w:after="0" w:line="19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Consolidated Adjusted EBITDA is a non-GAAP liquidity measure. For determining the Total Net Leverage Ratio at March 31, 2021, Consolidated Adjusted EBITDA was calculated as follows in accordance with the referenced clause definitions from Section 1.01 of the Sixth Amendment: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Last Twelve Months Ended</w:t>
            </w:r>
          </w:p>
        </w:tc>
      </w:tr>
      <w:tr>
        <w:trPr>
          <w:trHeight w:val="230"/>
        </w:trPr>
        <w:tc>
          <w:tcPr>
            <w:tcW w:w="8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Net Income (GAAP)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28,851</w:t>
            </w: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Applicable Adjustments:</w:t>
            </w:r>
          </w:p>
        </w:tc>
        <w:tc>
          <w:tcPr>
            <w:tcW w:w="22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Gain on sale of business, less amounts attributable and paid to NCIs (clause (ii)(c))</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(62,091)</w:t>
            </w:r>
          </w:p>
        </w:tc>
      </w:tr>
      <w:tr>
        <w:trPr>
          <w:trHeight w:val="230"/>
        </w:trPr>
        <w:tc>
          <w:tcPr>
            <w:tcW w:w="8440" w:type="dxa"/>
            <w:vAlign w:val="bottom"/>
          </w:tcPr>
          <w:p>
            <w:pPr>
              <w:ind w:left="560"/>
              <w:spacing w:after="0"/>
              <w:rPr>
                <w:sz w:val="20"/>
                <w:szCs w:val="20"/>
                <w:color w:val="auto"/>
              </w:rPr>
            </w:pPr>
            <w:r>
              <w:rPr>
                <w:rFonts w:ascii="Arial" w:cs="Arial" w:eastAsia="Arial" w:hAnsi="Arial"/>
                <w:sz w:val="18"/>
                <w:szCs w:val="18"/>
                <w:color w:val="auto"/>
              </w:rPr>
              <w:t>Interest expense (clause (i)(b))</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43,692</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Depreciation and amortization (clause (i)(d) and (i)(e))</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w:t>
            </w:r>
          </w:p>
        </w:tc>
      </w:tr>
      <w:tr>
        <w:trPr>
          <w:trHeight w:val="229"/>
        </w:trPr>
        <w:tc>
          <w:tcPr>
            <w:tcW w:w="8440" w:type="dxa"/>
            <w:vAlign w:val="bottom"/>
          </w:tcPr>
          <w:p>
            <w:pPr>
              <w:ind w:left="560"/>
              <w:spacing w:after="0"/>
              <w:rPr>
                <w:sz w:val="20"/>
                <w:szCs w:val="20"/>
                <w:color w:val="auto"/>
              </w:rPr>
            </w:pPr>
            <w:r>
              <w:rPr>
                <w:rFonts w:ascii="Arial" w:cs="Arial" w:eastAsia="Arial" w:hAnsi="Arial"/>
                <w:sz w:val="18"/>
                <w:szCs w:val="18"/>
                <w:color w:val="auto"/>
              </w:rPr>
              <w:t>Income tax expense (clause (i)(c))</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9,901</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Non-cash stock-based compensation (clause (i)(j))</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30"/>
        </w:trPr>
        <w:tc>
          <w:tcPr>
            <w:tcW w:w="8440" w:type="dxa"/>
            <w:vAlign w:val="bottom"/>
          </w:tcPr>
          <w:p>
            <w:pPr>
              <w:ind w:left="560"/>
              <w:spacing w:after="0"/>
              <w:rPr>
                <w:sz w:val="20"/>
                <w:szCs w:val="20"/>
                <w:color w:val="auto"/>
              </w:rPr>
            </w:pPr>
            <w:r>
              <w:rPr>
                <w:rFonts w:ascii="Arial" w:cs="Arial" w:eastAsia="Arial" w:hAnsi="Arial"/>
                <w:sz w:val="18"/>
                <w:szCs w:val="18"/>
                <w:color w:val="auto"/>
              </w:rPr>
              <w:t>Acquisition transition services (clause (i)(k))</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1,732</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Debt extinguishment and modification expenses (clause (i)(h))</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29"/>
        </w:trPr>
        <w:tc>
          <w:tcPr>
            <w:tcW w:w="8440" w:type="dxa"/>
            <w:vAlign w:val="bottom"/>
          </w:tcPr>
          <w:p>
            <w:pPr>
              <w:ind w:left="560"/>
              <w:spacing w:after="0"/>
              <w:rPr>
                <w:sz w:val="20"/>
                <w:szCs w:val="20"/>
                <w:color w:val="auto"/>
              </w:rPr>
            </w:pPr>
            <w:r>
              <w:rPr>
                <w:rFonts w:ascii="Arial" w:cs="Arial" w:eastAsia="Arial" w:hAnsi="Arial"/>
                <w:sz w:val="18"/>
                <w:szCs w:val="18"/>
                <w:color w:val="auto"/>
              </w:rPr>
              <w:t>Impairment of intangible asset (clause (i)(f))</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1,753</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Provision for allowance for note receivable (clause (i)(f))</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30"/>
        </w:trPr>
        <w:tc>
          <w:tcPr>
            <w:tcW w:w="8440" w:type="dxa"/>
            <w:vAlign w:val="bottom"/>
          </w:tcPr>
          <w:p>
            <w:pPr>
              <w:ind w:left="560"/>
              <w:spacing w:after="0"/>
              <w:rPr>
                <w:sz w:val="20"/>
                <w:szCs w:val="20"/>
                <w:color w:val="auto"/>
              </w:rPr>
            </w:pPr>
            <w:r>
              <w:rPr>
                <w:rFonts w:ascii="Arial" w:cs="Arial" w:eastAsia="Arial" w:hAnsi="Arial"/>
                <w:sz w:val="18"/>
                <w:szCs w:val="18"/>
                <w:color w:val="auto"/>
              </w:rPr>
              <w:t>Change in fair value of contingent consideration for business combinations (clause (ii)(a))</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Certain legal fees and expenses (clause (i)(m))</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r>
      <w:tr>
        <w:trPr>
          <w:trHeight w:val="230"/>
        </w:trPr>
        <w:tc>
          <w:tcPr>
            <w:tcW w:w="8440" w:type="dxa"/>
            <w:vAlign w:val="bottom"/>
          </w:tcPr>
          <w:p>
            <w:pPr>
              <w:ind w:left="560"/>
              <w:spacing w:after="0"/>
              <w:rPr>
                <w:sz w:val="20"/>
                <w:szCs w:val="20"/>
                <w:color w:val="auto"/>
              </w:rPr>
            </w:pPr>
            <w:r>
              <w:rPr>
                <w:rFonts w:ascii="Arial" w:cs="Arial" w:eastAsia="Arial" w:hAnsi="Arial"/>
                <w:sz w:val="18"/>
                <w:szCs w:val="18"/>
                <w:color w:val="auto"/>
              </w:rPr>
              <w:t>Litigation settlement recoveries (clause (i)(k))</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9"/>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Professional, accounting and consulting fees (clause (i)(k))</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r>
      <w:tr>
        <w:trPr>
          <w:trHeight w:val="230"/>
        </w:trPr>
        <w:tc>
          <w:tcPr>
            <w:tcW w:w="8440" w:type="dxa"/>
            <w:vAlign w:val="bottom"/>
          </w:tcPr>
          <w:p>
            <w:pPr>
              <w:ind w:left="560"/>
              <w:spacing w:after="0"/>
              <w:rPr>
                <w:sz w:val="20"/>
                <w:szCs w:val="20"/>
                <w:color w:val="auto"/>
              </w:rPr>
            </w:pPr>
            <w:r>
              <w:rPr>
                <w:rFonts w:ascii="Arial" w:cs="Arial" w:eastAsia="Arial" w:hAnsi="Arial"/>
                <w:sz w:val="18"/>
                <w:szCs w:val="18"/>
                <w:color w:val="auto"/>
              </w:rPr>
              <w:t>Other professional and consulting fees (clause (i)(h))</w:t>
            </w:r>
          </w:p>
        </w:tc>
        <w:tc>
          <w:tcPr>
            <w:tcW w:w="2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4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adjustments (clause (i)(k))</w:t>
            </w:r>
          </w:p>
        </w:tc>
        <w:tc>
          <w:tcPr>
            <w:tcW w:w="2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84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Pro forma impact of disposal</w:t>
            </w: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Adjusted EBITDA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At March 31, 2021, the Total Net Leverage Ratio was 5.44:1.00, calculated as follows:</w:t>
            </w:r>
          </w:p>
        </w:tc>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270"/>
        </w:trPr>
        <w:tc>
          <w:tcPr>
            <w:tcW w:w="8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 except ratio)</w:t>
            </w:r>
          </w:p>
        </w:tc>
        <w:tc>
          <w:tcPr>
            <w:tcW w:w="46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Consolidated Total Debt:</w:t>
            </w:r>
          </w:p>
        </w:tc>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24,302</w:t>
            </w:r>
          </w:p>
        </w:tc>
      </w:tr>
      <w:tr>
        <w:trPr>
          <w:trHeight w:val="229"/>
        </w:trPr>
        <w:tc>
          <w:tcPr>
            <w:tcW w:w="8360" w:type="dxa"/>
            <w:vAlign w:val="bottom"/>
          </w:tcPr>
          <w:p>
            <w:pPr>
              <w:ind w:left="240"/>
              <w:spacing w:after="0"/>
              <w:rPr>
                <w:sz w:val="20"/>
                <w:szCs w:val="20"/>
                <w:color w:val="auto"/>
              </w:rPr>
            </w:pPr>
            <w:r>
              <w:rPr>
                <w:rFonts w:ascii="Arial" w:cs="Arial" w:eastAsia="Arial" w:hAnsi="Arial"/>
                <w:sz w:val="18"/>
                <w:szCs w:val="18"/>
                <w:color w:val="auto"/>
              </w:rPr>
              <w:t>Long-term debt, net of discounts and deferred financing costs</w:t>
            </w:r>
          </w:p>
        </w:tc>
        <w:tc>
          <w:tcPr>
            <w:tcW w:w="4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350,667</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Unamortized debt discounts and deferred financing costs</w:t>
            </w:r>
          </w:p>
        </w:tc>
        <w:tc>
          <w:tcPr>
            <w:tcW w:w="46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w:t>
            </w:r>
          </w:p>
        </w:tc>
      </w:tr>
      <w:tr>
        <w:trPr>
          <w:trHeight w:val="223"/>
        </w:trPr>
        <w:tc>
          <w:tcPr>
            <w:tcW w:w="8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379,104</w:t>
            </w:r>
          </w:p>
        </w:tc>
      </w:tr>
      <w:tr>
        <w:trPr>
          <w:trHeight w:val="229"/>
        </w:trPr>
        <w:tc>
          <w:tcPr>
            <w:tcW w:w="8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unrestricted cash</w:t>
            </w:r>
          </w:p>
        </w:tc>
        <w:tc>
          <w:tcPr>
            <w:tcW w:w="46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r>
      <w:tr>
        <w:trPr>
          <w:trHeight w:val="223"/>
        </w:trPr>
        <w:tc>
          <w:tcPr>
            <w:tcW w:w="8360" w:type="dxa"/>
            <w:vAlign w:val="bottom"/>
          </w:tcPr>
          <w:p>
            <w:pPr>
              <w:ind w:left="240"/>
              <w:spacing w:after="0"/>
              <w:rPr>
                <w:sz w:val="20"/>
                <w:szCs w:val="20"/>
                <w:color w:val="auto"/>
              </w:rPr>
            </w:pPr>
            <w:r>
              <w:rPr>
                <w:rFonts w:ascii="Arial" w:cs="Arial" w:eastAsia="Arial" w:hAnsi="Arial"/>
                <w:sz w:val="18"/>
                <w:szCs w:val="18"/>
                <w:color w:val="auto"/>
              </w:rPr>
              <w:t>Consolidated Net Debt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373,277</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37"/>
        </w:trPr>
        <w:tc>
          <w:tcPr>
            <w:tcW w:w="8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Consolidated Adjusted EBITDA (non-GAAP)</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68,637</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Leverage Ratio</w:t>
            </w:r>
          </w:p>
        </w:tc>
        <w:tc>
          <w:tcPr>
            <w:tcW w:w="460" w:type="dxa"/>
            <w:vAlign w:val="bottom"/>
            <w:tcBorders>
              <w:bottom w:val="single" w:sz="8" w:color="auto"/>
            </w:tcBorders>
            <w:shd w:val="clear" w:color="auto" w:fill="CCEEFF"/>
          </w:tcPr>
          <w:p>
            <w:pPr>
              <w:spacing w:after="0"/>
              <w:rPr>
                <w:sz w:val="21"/>
                <w:szCs w:val="21"/>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5.44x</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27, 2021, we entered into a Securities Purchase Agreement (the “Purchase Agreement”) with credit funds managed by certain affiliates of Ares Management Corporation (the “Investors”), pursuant to which the Company (i) issued and sold 150,000 shares of senior preferred stock, par value $0.001 per share (the “Senior Preferred Stock”, and the shares issued the “Senior Preferred Shares”) at a purchase price of $150,000,000, or $1,000 per Senior Preferred Share (the “Initial Senior Preferred Stock Sale”), and (ii) issued warrants (the “Warrants”) to purchase up to 1,803,841 shares of the Company’s common stock, par value $0.001 per share (“Common Stock” and together with the Warrants, the “Securities”), at an exercise price $0.001. The exercise price and the number of shares issuable upon exercise of the warrants are subject to certain adjustments from time to time on the terms outlined in the Warrants.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issuance and sale of Senior Preferred Shares which pursuant to the Purchase Agreement, upon the consummation of the Company’s acquisition of Finxera and the satisfaction of other customary closing conditions, the Company will issue and sell to the Investors an additional 50,000 shares of Senior Preferred Stock, at a purchase price of $50,000,000, or $1,000 per share. The Company may also issue and sell to the Investors up to an additional 50,000 shares of Senior Preferred Stock, at a purchase price of $1,000 per share within 18 months after the consummation of the Acquisition Senior Preferred Stock Sale upon the satisfaction of certain customary closing conditions.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proceeds from the sale of the Securities to fund the Refinancing (as defined below) and to pay certain fees and expenses relating to the Refinancing and the offering of the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27, 2021 the Company entered into a Registration Rights Agreement, by and among the Company and the Investors (the “Registration Rights Agreement”), pursuant to which the Company agreed to provide certain registration rights with respect to the shares of Common Stock issuable upon exercise of the Warrants (the “Registrable Securities”).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Registration Rights Agreement, the holders of the Registrable Securities were granted (i) piggyback rights to be included in certain underwritten offerings of Common Stock and (ii) the right to demand a shelf registration of Registrable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Agreement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27, 2021, Priority Holdings, LLC, a Delaware limited liability company (“Holdings”), which is a direct wholly-owned subsidiary of the Company, and certain direct and indirect subsidiaries of Holdings (together with Holdings, collectively, the “Loan Parties”), entered into a Credit and Guaranty Agreement (the “Credit Agreement”) with Truist Bank (“Truist”) and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lenders party thereto, pursuant to which Holdings has access to senior credit facilities in an aggregate principal amount of $630.0 million which are secured by substantially all of the assets of the Loan Parties and by the equity interests of Holdings.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facilities under the Credit Agreement are comprised of (i) a senior secured first lien term loan facility in an aggregate principal amount of $300,000,000 (the “Initial Term Loan”), the proceeds of which have been used to fund the Refinancing, (ii) a senior secured revolving credit facility in an aggregate amount not to exceed $40,000,000 outstanding at any time and (iii) a senior secured first lien delayed draw term loan facility in an aggregate principal amount of $290,000,000, the proceeds of which may be used to fund the Company’s acquisition of Finxera.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Credit Agreement, prepayments of outstanding principal may be made in permitted increments with a 1.0% penalty for certain prepayments made in connection with repricing transactions. Such premium will be based on the principal amount that is prepaid, subject to the terms of the credit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outstanding amount of any loans and any other amounts owing by the Loan Parties under the Credit Agreement may, after the occurrence of an Event of Default (as defined in the Credit Agreement), at the option of Truist, be declared immediately due and payable. Events of Default include, without limitation, the failure of the Loan Parties to pay principal, premium or interest when due under the Credit Agreement, or the failure by the Loan Parties to perform or comply with any term or covenant in the Credit Agreement, in each case, subject to any applicable cure periods provided therein.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which is defined in the Credit Agreement as the ratio of consolidated total debt of the Loan Parties to the Loan Parties Consolidated Adjusted EBITDA (as defined in the Credit Agreement). If applicable, the maximum permitted Total Net Leverage Ratio is (i) 6.50:1.00 at each fiscal quarter ended September 30, 2021 through June 30, 2022, (ii) 6.00:1.00 at each fiscal quarter ended September 30, 2022 through June 30, 2023, and (iii) 5.50:1.00 at each fiscal quarter ended September 30, 2023 each fiscal quarter thereafter.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Holdings and certain other Loan Parties have previously entered into (A) the Term Loan Agreement and (B) the Senior Credit Agreement, the proceeds from the sale of the Securities and from the Initial Term Loan were used to refinance the Term Loan Agreement and the Senior Credit Agreement and all outstanding obligations thereunder were repaid in full (or in the case of outstanding undrawn letters of credit, deemed issued under the Credit Agreement), and all commitments and guaranties in connection therewith have been terminated or released (the “Refinancing”).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current assessment is that we anticipate cash on hand, funds generated from operations and available borrowings under our revolving credit facility to be sufficient to meet our working capital requirements, and that we will remain in compliance with our debt covenants. However, </w:t>
      </w:r>
      <w:r>
        <w:rPr>
          <w:rFonts w:ascii="Arial" w:cs="Arial" w:eastAsia="Arial" w:hAnsi="Arial"/>
          <w:sz w:val="18"/>
          <w:szCs w:val="18"/>
          <w:color w:val="212529"/>
        </w:rPr>
        <w:t>the ongoing magnitude,</w:t>
      </w:r>
      <w:r>
        <w:rPr>
          <w:rFonts w:ascii="Arial" w:cs="Arial" w:eastAsia="Arial" w:hAnsi="Arial"/>
          <w:sz w:val="18"/>
          <w:szCs w:val="18"/>
          <w:color w:val="auto"/>
        </w:rPr>
        <w:t xml:space="preserve"> </w:t>
      </w:r>
      <w:r>
        <w:rPr>
          <w:rFonts w:ascii="Arial" w:cs="Arial" w:eastAsia="Arial" w:hAnsi="Arial"/>
          <w:sz w:val="18"/>
          <w:szCs w:val="18"/>
          <w:color w:val="212529"/>
        </w:rPr>
        <w:t>duration and effects of the COVID-19 pandemic on our future results of operation, cash flows, and financial condition are difficult to predict at this time, and our current assessment is subject to material revision.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quantitative and qualitative disclosures about market risk, see Item 7A, "Quantitative and Qualitative Disclosures About Market Risk," of our Annual Report on Form 10-K for the year ended December 31, 2020. Our exposures to market risk have not changed materially since December 31,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maintain disclosure controls and procedures, as defined in Rules 13a-15(e) and 15d-15(e) of the Securities Exchange Act of 1934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and chief financial officer (CFO) and, as appropriate, to allow timely decisions regarding required disclosures.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Management, with the participation of the CEO and CFO, has evaluated the effectiveness of the Company's disclosure controls and procedures as of March 31, 2021. Based on that evaluation, the Company's CEO and CFO concluded that the Company's disclosure controls and procedures were effective as of March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12529"/>
        </w:rPr>
        <w:t>b) 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There were no changes in the Company’s internal control over financial reporting during the first quarter of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our Annual Report under Part I, Item 1A “Risk Factors” because these risk factors may affect our operations and financial results.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gridSpan w:val="4"/>
          </w:tcPr>
          <w:p>
            <w:pPr>
              <w:spacing w:after="0"/>
              <w:rPr>
                <w:sz w:val="20"/>
                <w:szCs w:val="20"/>
                <w:color w:val="auto"/>
              </w:rPr>
            </w:pPr>
            <w:r>
              <w:rPr>
                <w:rFonts w:ascii="Arial" w:cs="Arial" w:eastAsia="Arial" w:hAnsi="Arial"/>
                <w:sz w:val="18"/>
                <w:szCs w:val="18"/>
                <w:b w:val="1"/>
                <w:bCs w:val="1"/>
                <w:color w:val="auto"/>
                <w:w w:val="93"/>
              </w:rPr>
              <w:t>Exhibit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gridSpan w:val="18"/>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FF"/>
                <w:w w:val="87"/>
              </w:rPr>
            </w:pPr>
            <w:hyperlink r:id="rId5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80" w:type="dxa"/>
            <w:vAlign w:val="bottom"/>
            <w:gridSpan w:val="18"/>
          </w:tcPr>
          <w:p>
            <w:pPr>
              <w:spacing w:after="0"/>
              <w:rPr>
                <w:rFonts w:ascii="Arial" w:cs="Arial" w:eastAsia="Arial" w:hAnsi="Arial"/>
                <w:sz w:val="18"/>
                <w:szCs w:val="18"/>
                <w:color w:val="0000FF"/>
              </w:rPr>
            </w:pPr>
            <w:hyperlink r:id="rId54">
              <w:r>
                <w:rPr>
                  <w:rFonts w:ascii="Arial" w:cs="Arial" w:eastAsia="Arial" w:hAnsi="Arial"/>
                  <w:sz w:val="18"/>
                  <w:szCs w:val="18"/>
                  <w:color w:val="0000FF"/>
                </w:rPr>
                <w:t>Certificate of Designations of Senior Preferred Stock</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0" w:type="dxa"/>
            <w:vAlign w:val="bottom"/>
          </w:tcPr>
          <w:p>
            <w:pPr>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color w:val="0000FF"/>
              </w:rPr>
            </w:pPr>
            <w:hyperlink r:id="rId55">
              <w:r>
                <w:rPr>
                  <w:rFonts w:ascii="Arial" w:cs="Arial" w:eastAsia="Arial" w:hAnsi="Arial"/>
                  <w:sz w:val="18"/>
                  <w:szCs w:val="18"/>
                  <w:color w:val="0000FF"/>
                </w:rPr>
                <w:t>Form of Warrant</w:t>
              </w:r>
            </w:hyperlink>
          </w:p>
        </w:tc>
      </w:tr>
      <w:tr>
        <w:trPr>
          <w:trHeight w:val="20"/>
        </w:trPr>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Asset Purchase Agreement by and between MRI Payments LLC, MRI Software LLC, and Priority Real Estate Technology LLC, dated</w:t>
              </w:r>
            </w:hyperlink>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August 31, 2020 (incorporated by reference to Exhibit 10.1 to the Current Report on Form 8-K, filed September 1, 2020)</w:t>
              </w:r>
            </w:hyperlink>
          </w:p>
        </w:tc>
        <w:tc>
          <w:tcPr>
            <w:tcW w:w="11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20" w:type="dxa"/>
            <w:vAlign w:val="bottom"/>
            <w:gridSpan w:val="3"/>
          </w:tcPr>
          <w:p>
            <w:pPr>
              <w:spacing w:after="0"/>
              <w:rPr>
                <w:rFonts w:ascii="Arial" w:cs="Arial" w:eastAsia="Arial" w:hAnsi="Arial"/>
                <w:sz w:val="18"/>
                <w:szCs w:val="18"/>
                <w:color w:val="0000FF"/>
                <w:w w:val="88"/>
              </w:rPr>
            </w:pPr>
            <w:hyperlink r:id="rId5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w:t>
              </w:r>
            </w:hyperlink>
          </w:p>
        </w:tc>
        <w:tc>
          <w:tcPr>
            <w:tcW w:w="3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9880" w:type="dxa"/>
            <w:vAlign w:val="bottom"/>
            <w:gridSpan w:val="18"/>
          </w:tcPr>
          <w:p>
            <w:pPr>
              <w:spacing w:after="0"/>
              <w:rPr>
                <w:rFonts w:ascii="Arial" w:cs="Arial" w:eastAsia="Arial" w:hAnsi="Arial"/>
                <w:sz w:val="18"/>
                <w:szCs w:val="18"/>
                <w:color w:val="0000FF"/>
              </w:rPr>
            </w:pPr>
            <w:hyperlink r:id="rId57">
              <w:r>
                <w:rPr>
                  <w:rFonts w:ascii="Arial" w:cs="Arial" w:eastAsia="Arial" w:hAnsi="Arial"/>
                  <w:sz w:val="18"/>
                  <w:szCs w:val="18"/>
                  <w:color w:val="0000FF"/>
                </w:rPr>
                <w:t>Securities Purchase Agreement, dated as of April 27, 2021, among the Company and the Investors named therein</w:t>
              </w:r>
            </w:hyperlink>
          </w:p>
        </w:tc>
      </w:tr>
      <w:tr>
        <w:trPr>
          <w:trHeight w:val="20"/>
        </w:trPr>
        <w:tc>
          <w:tcPr>
            <w:tcW w:w="4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420" w:type="dxa"/>
            <w:vAlign w:val="bottom"/>
            <w:gridSpan w:val="3"/>
          </w:tcPr>
          <w:p>
            <w:pPr>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80" w:type="dxa"/>
            <w:vAlign w:val="bottom"/>
            <w:gridSpan w:val="18"/>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Sixth Amendment to the Credit and Guaranty Agreement dated as of March 18, 2020 by and among Pipeline Cynergy Holdings LLC,</w:t>
              </w:r>
            </w:hyperlink>
          </w:p>
        </w:tc>
      </w:tr>
      <w:tr>
        <w:trPr>
          <w:trHeight w:val="189"/>
        </w:trPr>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20" w:type="dxa"/>
            <w:vAlign w:val="bottom"/>
            <w:tcBorders>
              <w:top w:val="single" w:sz="8" w:color="0000FF"/>
            </w:tcBorders>
            <w:gridSpan w:val="12"/>
          </w:tcPr>
          <w:p>
            <w:pPr>
              <w:spacing w:after="0" w:line="189"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Priority Institutional Partner Services LLC, Priority Payment Systems Holdings LLC, Priority Holdings LLC, the others Guarantors,</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5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and Truist Bank (successor by merger to SunTrust Bank), (incorporated by reference to Exhibit 10.1 to the Company's Current Report</w:t>
              </w:r>
            </w:hyperlink>
          </w:p>
        </w:tc>
        <w:tc>
          <w:tcPr>
            <w:tcW w:w="12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40" w:type="dxa"/>
            <w:vAlign w:val="bottom"/>
            <w:gridSpan w:val="13"/>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on Form 8-K, filed March 23, 2020).</w:t>
              </w:r>
            </w:hyperlink>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60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color w:val="0000FF"/>
              </w:rPr>
            </w:pPr>
            <w:hyperlink r:id="rId59">
              <w:r>
                <w:rPr>
                  <w:rFonts w:ascii="Arial" w:cs="Arial" w:eastAsia="Arial" w:hAnsi="Arial"/>
                  <w:sz w:val="18"/>
                  <w:szCs w:val="18"/>
                  <w:color w:val="0000FF"/>
                </w:rPr>
                <w:t>Registration Rights Agreement, dated as of April 27, 2021, among the Company and the Investors, named therein</w:t>
              </w:r>
            </w:hyperlink>
          </w:p>
        </w:tc>
      </w:tr>
      <w:tr>
        <w:trPr>
          <w:trHeight w:val="20"/>
        </w:trPr>
        <w:tc>
          <w:tcPr>
            <w:tcW w:w="78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8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w:t>
              </w:r>
            </w:hyperlink>
          </w:p>
        </w:tc>
        <w:tc>
          <w:tcPr>
            <w:tcW w:w="36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color w:val="0000FF"/>
              </w:rPr>
            </w:pPr>
            <w:hyperlink r:id="rId60">
              <w:r>
                <w:rPr>
                  <w:rFonts w:ascii="Arial" w:cs="Arial" w:eastAsia="Arial" w:hAnsi="Arial"/>
                  <w:sz w:val="18"/>
                  <w:szCs w:val="18"/>
                  <w:color w:val="0000FF"/>
                </w:rPr>
                <w:t>Credit Agreement, dated as of April 27, 2021, among the Loan Parties named therein and Truist Bank</w:t>
              </w:r>
            </w:hyperlink>
          </w:p>
        </w:tc>
      </w:tr>
      <w:tr>
        <w:trPr>
          <w:trHeight w:val="20"/>
        </w:trPr>
        <w:tc>
          <w:tcPr>
            <w:tcW w:w="4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8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20" w:type="dxa"/>
            <w:vAlign w:val="bottom"/>
            <w:gridSpan w:val="3"/>
          </w:tcPr>
          <w:p>
            <w:pPr>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80" w:type="dxa"/>
            <w:vAlign w:val="bottom"/>
            <w:gridSpan w:val="18"/>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Consent and Sixth Amendment to Credit and Guaranty Agreement, dated as of March 18, 2020 by and among Priority Holdings LLC,</w:t>
              </w:r>
            </w:hyperlink>
          </w:p>
        </w:tc>
      </w:tr>
      <w:tr>
        <w:trPr>
          <w:trHeight w:val="169"/>
        </w:trPr>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Arial" w:cs="Arial" w:eastAsia="Arial" w:hAnsi="Arial"/>
                <w:sz w:val="18"/>
                <w:szCs w:val="18"/>
                <w:color w:val="0000FF"/>
                <w:w w:val="93"/>
              </w:rPr>
            </w:pPr>
            <w:hyperlink r:id="rId61">
              <w:r>
                <w:rPr>
                  <w:rFonts w:ascii="Arial" w:cs="Arial" w:eastAsia="Arial" w:hAnsi="Arial"/>
                  <w:sz w:val="18"/>
                  <w:szCs w:val="18"/>
                  <w:color w:val="0000FF"/>
                  <w:w w:val="93"/>
                </w:rPr>
                <w:t>the Guarantors, the Lenders and Goldman Sachs Specialty Group LP (incorporated by reference to Exhibit 10.2 to the Company's</w:t>
              </w:r>
            </w:hyperlink>
          </w:p>
        </w:tc>
        <w:tc>
          <w:tcPr>
            <w:tcW w:w="1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Current Report on Form 8-K, filed March 23, 2020).</w:t>
              </w:r>
            </w:hyperlink>
          </w:p>
        </w:tc>
        <w:tc>
          <w:tcPr>
            <w:tcW w:w="5520" w:type="dxa"/>
            <w:vAlign w:val="bottom"/>
            <w:tcBorders>
              <w:top w:val="single" w:sz="8" w:color="0000FF"/>
            </w:tcBorders>
            <w:gridSpan w:val="5"/>
          </w:tcPr>
          <w:p>
            <w:pPr>
              <w:spacing w:after="0"/>
              <w:rPr>
                <w:sz w:val="14"/>
                <w:szCs w:val="14"/>
                <w:color w:val="auto"/>
              </w:rPr>
            </w:pPr>
          </w:p>
        </w:tc>
        <w:tc>
          <w:tcPr>
            <w:tcW w:w="5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2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gridSpan w:val="18"/>
          </w:tcPr>
          <w:p>
            <w:pPr>
              <w:spacing w:after="0"/>
              <w:rPr>
                <w:rFonts w:ascii="Arial" w:cs="Arial" w:eastAsia="Arial" w:hAnsi="Arial"/>
                <w:sz w:val="18"/>
                <w:szCs w:val="18"/>
                <w:color w:val="0000FF"/>
                <w:w w:val="93"/>
              </w:rPr>
            </w:pPr>
            <w:hyperlink w:anchor="page45">
              <w:r>
                <w:rPr>
                  <w:rFonts w:ascii="Arial" w:cs="Arial" w:eastAsia="Arial" w:hAnsi="Arial"/>
                  <w:sz w:val="18"/>
                  <w:szCs w:val="18"/>
                  <w:color w:val="0000FF"/>
                  <w:w w:val="93"/>
                </w:rPr>
                <w:t>Certification of Chief Executive Officer pursuant to Rule 13a-14 and Rule 15d-14(a), promulgated under the Securities and Exchange</w:t>
              </w:r>
            </w:hyperlink>
          </w:p>
        </w:tc>
      </w:tr>
      <w:tr>
        <w:trPr>
          <w:trHeight w:val="156"/>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Act of 1934, as amended.</w:t>
              </w:r>
            </w:hyperlink>
          </w:p>
        </w:tc>
        <w:tc>
          <w:tcPr>
            <w:tcW w:w="20" w:type="dxa"/>
            <w:vAlign w:val="bottom"/>
          </w:tcPr>
          <w:p>
            <w:pPr>
              <w:spacing w:after="0"/>
              <w:rPr>
                <w:sz w:val="13"/>
                <w:szCs w:val="13"/>
                <w:color w:val="auto"/>
              </w:rPr>
            </w:pPr>
          </w:p>
        </w:tc>
      </w:tr>
      <w:tr>
        <w:trPr>
          <w:trHeight w:val="20"/>
        </w:trPr>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42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80" w:type="dxa"/>
            <w:vAlign w:val="bottom"/>
            <w:gridSpan w:val="18"/>
          </w:tcPr>
          <w:p>
            <w:pPr>
              <w:spacing w:after="0"/>
              <w:rPr>
                <w:rFonts w:ascii="Arial" w:cs="Arial" w:eastAsia="Arial" w:hAnsi="Arial"/>
                <w:sz w:val="18"/>
                <w:szCs w:val="18"/>
                <w:color w:val="0000FF"/>
                <w:w w:val="93"/>
              </w:rPr>
            </w:pPr>
            <w:hyperlink w:anchor="page46">
              <w:r>
                <w:rPr>
                  <w:rFonts w:ascii="Arial" w:cs="Arial" w:eastAsia="Arial" w:hAnsi="Arial"/>
                  <w:sz w:val="18"/>
                  <w:szCs w:val="18"/>
                  <w:color w:val="0000FF"/>
                  <w:w w:val="93"/>
                </w:rPr>
                <w:t>Certification of Chief Financial Officer pursuant to Rule 13a-14 and Rule 15d-14(a), promulgated under the Securities and Exchange</w:t>
              </w:r>
            </w:hyperlink>
          </w:p>
        </w:tc>
      </w:tr>
      <w:tr>
        <w:trPr>
          <w:trHeight w:val="155"/>
        </w:trPr>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Act of 1934, as amended.</w:t>
              </w:r>
            </w:hyperlink>
          </w:p>
        </w:tc>
        <w:tc>
          <w:tcPr>
            <w:tcW w:w="60" w:type="dxa"/>
            <w:vAlign w:val="bottom"/>
            <w:gridSpan w:val="3"/>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380" w:hanging="1354"/>
        <w:spacing w:after="0" w:line="235" w:lineRule="auto"/>
        <w:tabs>
          <w:tab w:leader="none" w:pos="1002" w:val="left"/>
        </w:tabs>
        <w:numPr>
          <w:ilvl w:val="0"/>
          <w:numId w:val="12"/>
        </w:numPr>
        <w:rPr>
          <w:rFonts w:ascii="Arial" w:cs="Arial" w:eastAsia="Arial" w:hAnsi="Arial"/>
          <w:sz w:val="18"/>
          <w:szCs w:val="18"/>
          <w:u w:val="single" w:color="auto"/>
          <w:color w:val="0000FF"/>
        </w:rPr>
      </w:pPr>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Certification of Chief Executive Officer and Chief Financial Officer pursuant to 18 U.S.C. Section 1350, as adopted pursuant to Section</w:t>
        </w:r>
      </w:hyperlink>
      <w:r>
        <w:rPr>
          <w:rFonts w:ascii="Arial" w:cs="Arial" w:eastAsia="Arial" w:hAnsi="Arial"/>
          <w:sz w:val="18"/>
          <w:szCs w:val="18"/>
          <w:color w:val="auto"/>
        </w:rPr>
        <w:t xml:space="preserve"> </w:t>
      </w:r>
      <w:hyperlink w:anchor="page47">
        <w:r>
          <w:rPr>
            <w:rFonts w:ascii="Arial" w:cs="Arial" w:eastAsia="Arial" w:hAnsi="Arial"/>
            <w:sz w:val="18"/>
            <w:szCs w:val="18"/>
            <w:u w:val="single" w:color="auto"/>
            <w:color w:val="0000FF"/>
          </w:rPr>
          <w:t>906 of the Sarbanes-Oxley Act of 2002.</w:t>
        </w:r>
      </w:hyperlink>
    </w:p>
    <w:tbl>
      <w:tblPr>
        <w:tblLayout w:type="fixed"/>
        <w:tblInd w:w="20" w:type="dxa"/>
        <w:tblCellMar>
          <w:top w:w="0" w:type="dxa"/>
          <w:left w:w="0" w:type="dxa"/>
          <w:bottom w:w="0" w:type="dxa"/>
          <w:right w:w="0" w:type="dxa"/>
        </w:tblCellMar>
      </w:tblP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101.INS</w:t>
            </w:r>
          </w:p>
        </w:tc>
        <w:tc>
          <w:tcPr>
            <w:tcW w:w="10340" w:type="dxa"/>
            <w:vAlign w:val="bottom"/>
          </w:tcPr>
          <w:p>
            <w:pPr>
              <w:ind w:left="160"/>
              <w:spacing w:after="0" w:line="176" w:lineRule="exact"/>
              <w:rPr>
                <w:sz w:val="20"/>
                <w:szCs w:val="20"/>
                <w:color w:val="auto"/>
              </w:rPr>
            </w:pPr>
            <w:r>
              <w:rPr>
                <w:rFonts w:ascii="Arial" w:cs="Arial" w:eastAsia="Arial" w:hAnsi="Arial"/>
                <w:sz w:val="18"/>
                <w:szCs w:val="18"/>
                <w:color w:val="auto"/>
                <w:w w:val="93"/>
              </w:rPr>
              <w:t>*   XBRL Instance Document - the instance document does not appear in the Interactive Data File because its XBRL tags are embedded</w:t>
            </w:r>
          </w:p>
        </w:tc>
      </w:tr>
      <w:tr>
        <w:trPr>
          <w:trHeight w:val="229"/>
        </w:trPr>
        <w:tc>
          <w:tcPr>
            <w:tcW w:w="840" w:type="dxa"/>
            <w:vAlign w:val="bottom"/>
          </w:tcPr>
          <w:p>
            <w:pPr>
              <w:spacing w:after="0"/>
              <w:rPr>
                <w:sz w:val="19"/>
                <w:szCs w:val="19"/>
                <w:color w:val="auto"/>
              </w:rPr>
            </w:pPr>
          </w:p>
        </w:tc>
        <w:tc>
          <w:tcPr>
            <w:tcW w:w="10340" w:type="dxa"/>
            <w:vAlign w:val="bottom"/>
          </w:tcPr>
          <w:p>
            <w:pPr>
              <w:ind w:left="520"/>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Schema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Definition Linkbase Document</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Label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160"/>
              <w:spacing w:after="0"/>
              <w:rPr>
                <w:sz w:val="20"/>
                <w:szCs w:val="20"/>
                <w:color w:val="auto"/>
              </w:rPr>
            </w:pPr>
            <w:r>
              <w:rPr>
                <w:rFonts w:ascii="Arial" w:cs="Arial" w:eastAsia="Arial" w:hAnsi="Arial"/>
                <w:sz w:val="18"/>
                <w:szCs w:val="18"/>
                <w:color w:val="auto"/>
              </w:rPr>
              <w:t>*   XBRL Taxonomy Extension Presentation Linkbase Document</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340" w:type="dxa"/>
            <w:vAlign w:val="bottom"/>
          </w:tcPr>
          <w:p>
            <w:pPr>
              <w:ind w:left="16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ind w:left="1380" w:right="80" w:hanging="1354"/>
        <w:spacing w:after="0" w:line="234" w:lineRule="auto"/>
        <w:tabs>
          <w:tab w:leader="none" w:pos="13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Schedules have been omitted pursuant to Item 601(b)(2) of Regulation S-K. The registrant hereby undertakes to furnish supplementally copies of any of the omitted schedules upon request by the SEC.</w:t>
      </w:r>
    </w:p>
    <w:p>
      <w:pPr>
        <w:spacing w:after="0" w:line="3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u w:val="single" w:color="auto"/>
          <w:color w:val="0000FF"/>
        </w:rPr>
      </w:pPr>
    </w:p>
    <w:p>
      <w:pPr>
        <w:ind w:right="3200" w:firstLine="8"/>
        <w:spacing w:after="0" w:line="290" w:lineRule="auto"/>
        <w:tabs>
          <w:tab w:leader="none" w:pos="1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Schedules have been omitted pursuant to Item 601(b)(2) of Regulation S-K. The registrant hereby undertakes to furnish supplemental copies of any of the omitted schedules upon request by the SEC.</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2" w:lineRule="exact"/>
        <w:rPr>
          <w:rFonts w:ascii="Arial" w:cs="Arial" w:eastAsia="Arial" w:hAnsi="Arial"/>
          <w:sz w:val="17"/>
          <w:szCs w:val="17"/>
          <w:color w:val="auto"/>
        </w:rPr>
      </w:pPr>
    </w:p>
    <w:p>
      <w:pPr>
        <w:ind w:left="5540" w:hanging="111"/>
        <w:spacing w:after="0"/>
        <w:tabs>
          <w:tab w:leader="none" w:pos="5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5900" w:type="dxa"/>
            <w:vAlign w:val="bottom"/>
            <w:gridSpan w:val="4"/>
          </w:tcPr>
          <w:p>
            <w:pPr>
              <w:ind w:left="1680"/>
              <w:spacing w:after="0"/>
              <w:rPr>
                <w:sz w:val="20"/>
                <w:szCs w:val="20"/>
                <w:color w:val="auto"/>
              </w:rPr>
            </w:pPr>
            <w:r>
              <w:rPr>
                <w:rFonts w:ascii="Arial" w:cs="Arial" w:eastAsia="Arial" w:hAnsi="Arial"/>
                <w:sz w:val="18"/>
                <w:szCs w:val="18"/>
                <w:color w:val="auto"/>
              </w:rPr>
              <w:t>PRIORITY TECHNOLOGY HOLDINGS, INC.</w:t>
            </w:r>
          </w:p>
        </w:tc>
      </w:tr>
      <w:tr>
        <w:trPr>
          <w:trHeight w:val="702"/>
        </w:trPr>
        <w:tc>
          <w:tcPr>
            <w:tcW w:w="2700" w:type="dxa"/>
            <w:vAlign w:val="bottom"/>
          </w:tcPr>
          <w:p>
            <w:pPr>
              <w:spacing w:after="0"/>
              <w:rPr>
                <w:sz w:val="20"/>
                <w:szCs w:val="20"/>
                <w:color w:val="auto"/>
              </w:rPr>
            </w:pPr>
            <w:r>
              <w:rPr>
                <w:rFonts w:ascii="Arial" w:cs="Arial" w:eastAsia="Arial" w:hAnsi="Arial"/>
                <w:sz w:val="18"/>
                <w:szCs w:val="18"/>
                <w:color w:val="auto"/>
              </w:rPr>
              <w:t>May 14, 2021</w:t>
            </w:r>
          </w:p>
        </w:tc>
        <w:tc>
          <w:tcPr>
            <w:tcW w:w="31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142"/>
        </w:trPr>
        <w:tc>
          <w:tcPr>
            <w:tcW w:w="2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Thomas C. Priore</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5"/>
        </w:trPr>
        <w:tc>
          <w:tcPr>
            <w:tcW w:w="2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w w:val="91"/>
              </w:rPr>
              <w:t>Chief Executive Officer and Chairman</w:t>
            </w:r>
          </w:p>
        </w:tc>
      </w:tr>
      <w:tr>
        <w:trPr>
          <w:trHeight w:val="230"/>
        </w:trPr>
        <w:tc>
          <w:tcPr>
            <w:tcW w:w="2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74"/>
        </w:trPr>
        <w:tc>
          <w:tcPr>
            <w:tcW w:w="2700" w:type="dxa"/>
            <w:vAlign w:val="bottom"/>
          </w:tcPr>
          <w:p>
            <w:pPr>
              <w:spacing w:after="0"/>
              <w:rPr>
                <w:sz w:val="20"/>
                <w:szCs w:val="20"/>
                <w:color w:val="auto"/>
              </w:rPr>
            </w:pPr>
            <w:r>
              <w:rPr>
                <w:rFonts w:ascii="Arial" w:cs="Arial" w:eastAsia="Arial" w:hAnsi="Arial"/>
                <w:sz w:val="18"/>
                <w:szCs w:val="18"/>
                <w:color w:val="auto"/>
              </w:rPr>
              <w:t>May 14, 2021</w:t>
            </w:r>
          </w:p>
        </w:tc>
        <w:tc>
          <w:tcPr>
            <w:tcW w:w="31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/s/ MICHAEL T. VOLLKOMMER</w:t>
            </w:r>
          </w:p>
        </w:tc>
      </w:tr>
      <w:tr>
        <w:trPr>
          <w:trHeight w:val="142"/>
        </w:trPr>
        <w:tc>
          <w:tcPr>
            <w:tcW w:w="2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Michael T. Vollkommer</w:t>
            </w:r>
          </w:p>
        </w:tc>
        <w:tc>
          <w:tcPr>
            <w:tcW w:w="220" w:type="dxa"/>
            <w:vAlign w:val="bottom"/>
          </w:tcPr>
          <w:p>
            <w:pPr>
              <w:spacing w:after="0"/>
              <w:rPr>
                <w:sz w:val="12"/>
                <w:szCs w:val="12"/>
                <w:color w:val="auto"/>
              </w:rPr>
            </w:pPr>
          </w:p>
        </w:tc>
      </w:tr>
      <w:tr>
        <w:trPr>
          <w:trHeight w:val="176"/>
        </w:trPr>
        <w:tc>
          <w:tcPr>
            <w:tcW w:w="2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r>
      <w:tr>
        <w:trPr>
          <w:trHeight w:val="230"/>
        </w:trPr>
        <w:tc>
          <w:tcPr>
            <w:tcW w:w="2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78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0500"/>
          </w:cols>
          <w:pgMar w:left="320" w:top="125" w:right="10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5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1020"/>
        <w:spacing w:after="0"/>
        <w:tabs>
          <w:tab w:leader="none" w:pos="642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36944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3694430" cy="17145"/>
                    </a:xfrm>
                    <a:prstGeom prst="rect">
                      <a:avLst/>
                    </a:prstGeom>
                    <a:noFill/>
                  </pic:spPr>
                </pic:pic>
              </a:graphicData>
            </a:graphic>
          </wp:anchor>
        </w:drawing>
      </w:r>
    </w:p>
    <w:p>
      <w:pPr>
        <w:spacing w:after="0" w:line="30"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jc w:val="center"/>
        <w:ind w:left="34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5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55" w:lineRule="auto"/>
        <w:tabs>
          <w:tab w:leader="none" w:pos="97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8"/>
          <w:szCs w:val="18"/>
          <w:color w:val="auto"/>
        </w:rPr>
      </w:pPr>
    </w:p>
    <w:p>
      <w:pPr>
        <w:ind w:left="980" w:right="360" w:hanging="324"/>
        <w:spacing w:after="0" w:line="250"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540" w:hanging="324"/>
        <w:spacing w:after="0" w:line="281" w:lineRule="auto"/>
        <w:tabs>
          <w:tab w:leader="none" w:pos="97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60" w:hanging="324"/>
        <w:spacing w:after="0" w:line="255"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291" w:lineRule="auto"/>
        <w:tabs>
          <w:tab w:leader="none" w:pos="977"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500" w:hanging="324"/>
        <w:spacing w:after="0" w:line="260" w:lineRule="auto"/>
        <w:tabs>
          <w:tab w:leader="none" w:pos="9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120"/>
        <w:spacing w:after="0"/>
        <w:tabs>
          <w:tab w:leader="none" w:pos="744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0600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March 31, 2021 as filed with the Securities and Exchange Commission (the "Report"), each of the undersigned, on the dates indicated below, hereby certifies pursuant to 18 U.S.C. Section 1350, as adopted pursuant to Section 906 of the Sarbanes-Oxley Act of 2002, that:</w:t>
      </w:r>
    </w:p>
    <w:p>
      <w:pPr>
        <w:spacing w:after="0" w:line="21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358"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6"/>
          <w:szCs w:val="16"/>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C. Priore</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4660" w:val="left"/>
        </w:tabs>
        <w:rPr>
          <w:sz w:val="20"/>
          <w:szCs w:val="20"/>
          <w:color w:val="auto"/>
        </w:rPr>
      </w:pPr>
      <w:r>
        <w:rPr>
          <w:rFonts w:ascii="Arial" w:cs="Arial" w:eastAsia="Arial" w:hAnsi="Arial"/>
          <w:sz w:val="18"/>
          <w:szCs w:val="18"/>
          <w:color w:val="auto"/>
        </w:rPr>
        <w:t>May 14, 2021</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14605</wp:posOffset>
            </wp:positionV>
            <wp:extent cx="42005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Michael T. Vollkommer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800"/>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1"/>
    </w:lvl>
  </w:abstractNum>
  <w:abstractNum w:abstractNumId="5">
    <w:nsid w:val="66EF438D"/>
    <w:multiLevelType w:val="hybridMultilevel"/>
    <w:lvl w:ilvl="0">
      <w:lvlJc w:val="left"/>
      <w:lvlText w:val="(%1)"/>
      <w:numFmt w:val="lowerLetter"/>
      <w:start w:val="1"/>
    </w:lvl>
    <w:lvl w:ilvl="1">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2)"/>
      <w:numFmt w:val="decimal"/>
      <w:start w:val="1"/>
    </w:lvl>
  </w:abstractNum>
  <w:abstractNum w:abstractNumId="8">
    <w:nsid w:val="109CF92E"/>
    <w:multiLevelType w:val="hybridMultilevel"/>
    <w:lvl w:ilvl="0">
      <w:lvlJc w:val="left"/>
      <w:lvlText w:val="%1."/>
      <w:numFmt w:val="decimal"/>
      <w:start w:val="16"/>
    </w:lvl>
    <w:lvl w:ilvl="1">
      <w:lvlJc w:val="left"/>
      <w:lvlText w:val="%2"/>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32"/>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
      <w:numFmt w:val="bullet"/>
      <w:start w:val="1"/>
    </w:lvl>
    <w:lvl w:ilvl="1">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54" Type="http://schemas.openxmlformats.org/officeDocument/2006/relationships/hyperlink" Target="https://www.sec.gov/Archives/edgar/data/1653558/000165355821000065/exhibit31-priorityxcertifi.htm" TargetMode="External"/><Relationship Id="rId55" Type="http://schemas.openxmlformats.org/officeDocument/2006/relationships/hyperlink" Target="https://www.sec.gov/Archives/edgar/data/1653558/000165355821000065/exhibit41-priorityxwarrant.htm" TargetMode="External"/><Relationship Id="rId56" Type="http://schemas.openxmlformats.org/officeDocument/2006/relationships/hyperlink" Target="https://www.sec.gov/Archives/edgar/data/1653558/000165355820000148/assetpurchaseagreement.htm" TargetMode="External"/><Relationship Id="rId57" Type="http://schemas.openxmlformats.org/officeDocument/2006/relationships/hyperlink" Target="https://www.sec.gov/Archives/edgar/data/1653558/000165355821000065/exhibit101-priorityxpurcha.htm" TargetMode="External"/><Relationship Id="rId58" Type="http://schemas.openxmlformats.org/officeDocument/2006/relationships/hyperlink" Target="https://www.sec.gov/Archives/edgar/data/1653558/000165355820000010/exhibit101truist.htm" TargetMode="External"/><Relationship Id="rId59" Type="http://schemas.openxmlformats.org/officeDocument/2006/relationships/hyperlink" Target="https://www.sec.gov/Archives/edgar/data/1653558/000165355821000065/exhibit102-priorityxregist.htm" TargetMode="External"/><Relationship Id="rId60" Type="http://schemas.openxmlformats.org/officeDocument/2006/relationships/hyperlink" Target="https://www.sec.gov/Archives/edgar/data/1653558/000165355821000065/exhibit103-prioritypayment.htm" TargetMode="External"/><Relationship Id="rId61" Type="http://schemas.openxmlformats.org/officeDocument/2006/relationships/hyperlink" Target="https://www.sec.gov/Archives/edgar/data/1653558/000165355820000010/exhibit102g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2021-05-14T16:03:28Z</dcterms:created>
  <dcterms:modified xsi:type="dcterms:W3CDTF">2021-05-14T16:03:28Z</dcterms:modified>
</cp:coreProperties>
</file>