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40" w:lineRule="exact"/>
        <w:rPr>
          <w:sz w:val="24"/>
          <w:szCs w:val="24"/>
          <w:color w:val="auto"/>
        </w:rPr>
      </w:pPr>
    </w:p>
    <w:p>
      <w:pPr>
        <w:jc w:val="center"/>
        <w:ind w:left="3880" w:right="1280" w:hanging="2476"/>
        <w:spacing w:after="0" w:line="294" w:lineRule="auto"/>
        <w:tabs>
          <w:tab w:leader="none" w:pos="161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2020</w:t>
      </w:r>
    </w:p>
    <w:p>
      <w:pPr>
        <w:spacing w:after="0" w:line="17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0" w:lineRule="exact"/>
        <w:rPr>
          <w:sz w:val="24"/>
          <w:szCs w:val="24"/>
          <w:color w:val="auto"/>
        </w:rPr>
      </w:pPr>
    </w:p>
    <w:p>
      <w:pPr>
        <w:ind w:left="1600" w:hanging="193"/>
        <w:spacing w:after="0"/>
        <w:tabs>
          <w:tab w:leader="none" w:pos="16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 w:lineRule="exact"/>
        <w:rPr>
          <w:sz w:val="24"/>
          <w:szCs w:val="24"/>
          <w:color w:val="auto"/>
        </w:rPr>
      </w:pPr>
    </w:p>
    <w:p>
      <w:pPr>
        <w:ind w:left="4080"/>
        <w:spacing w:after="0"/>
        <w:tabs>
          <w:tab w:leader="none" w:pos="69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number: 001-37872</w:t>
      </w:r>
    </w:p>
    <w:p>
      <w:pPr>
        <w:spacing w:after="0" w:line="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Priority Technology Holdings, Inc.</w:t>
      </w:r>
    </w:p>
    <w:p>
      <w:pPr>
        <w:spacing w:after="0" w:line="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0" w:lineRule="exact"/>
        <w:rPr>
          <w:sz w:val="24"/>
          <w:szCs w:val="24"/>
          <w:color w:val="auto"/>
        </w:rPr>
      </w:pPr>
    </w:p>
    <w:tbl>
      <w:tblPr>
        <w:tblLayout w:type="fixed"/>
        <w:tblInd w:w="1300" w:type="dxa"/>
        <w:tblCellMar>
          <w:top w:w="0" w:type="dxa"/>
          <w:left w:w="0" w:type="dxa"/>
          <w:bottom w:w="0" w:type="dxa"/>
          <w:right w:w="0" w:type="dxa"/>
        </w:tblCellMar>
      </w:tblPr>
      <w:tr>
        <w:trPr>
          <w:trHeight w:val="238"/>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 w:type="dxa"/>
            <w:vAlign w:val="bottom"/>
          </w:tcPr>
          <w:p>
            <w:pPr>
              <w:spacing w:after="0"/>
              <w:rPr>
                <w:sz w:val="20"/>
                <w:szCs w:val="20"/>
                <w:color w:val="auto"/>
              </w:rPr>
            </w:pPr>
          </w:p>
        </w:tc>
        <w:tc>
          <w:tcPr>
            <w:tcW w:w="3680" w:type="dxa"/>
            <w:vAlign w:val="bottom"/>
            <w:tcBorders>
              <w:bottom w:val="single" w:sz="8" w:color="auto"/>
            </w:tcBorders>
          </w:tcPr>
          <w:p>
            <w:pPr>
              <w:jc w:val="right"/>
              <w:ind w:right="1333"/>
              <w:spacing w:after="0"/>
              <w:rPr>
                <w:sz w:val="20"/>
                <w:szCs w:val="20"/>
                <w:color w:val="auto"/>
              </w:rPr>
            </w:pPr>
            <w:r>
              <w:rPr>
                <w:rFonts w:ascii="Times New Roman" w:cs="Times New Roman" w:eastAsia="Times New Roman" w:hAnsi="Times New Roman"/>
                <w:sz w:val="18"/>
                <w:szCs w:val="18"/>
                <w:b w:val="1"/>
                <w:bCs w:val="1"/>
                <w:color w:val="auto"/>
              </w:rPr>
              <w:t>47-4257046</w:t>
            </w:r>
          </w:p>
        </w:tc>
      </w:tr>
      <w:tr>
        <w:trPr>
          <w:trHeight w:val="244"/>
        </w:trPr>
        <w:tc>
          <w:tcPr>
            <w:tcW w:w="4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627"/>
        </w:trPr>
        <w:tc>
          <w:tcPr>
            <w:tcW w:w="8660" w:type="dxa"/>
            <w:vAlign w:val="bottom"/>
            <w:gridSpan w:val="3"/>
          </w:tcPr>
          <w:p>
            <w:pPr>
              <w:jc w:val="right"/>
              <w:ind w:right="3393"/>
              <w:spacing w:after="0"/>
              <w:rPr>
                <w:sz w:val="20"/>
                <w:szCs w:val="20"/>
                <w:color w:val="auto"/>
              </w:rPr>
            </w:pPr>
            <w:r>
              <w:rPr>
                <w:rFonts w:ascii="Times New Roman" w:cs="Times New Roman" w:eastAsia="Times New Roman" w:hAnsi="Times New Roman"/>
                <w:sz w:val="18"/>
                <w:szCs w:val="18"/>
                <w:b w:val="1"/>
                <w:bCs w:val="1"/>
                <w:color w:val="auto"/>
              </w:rPr>
              <w:t>2001 Westside Parkway</w:t>
            </w:r>
          </w:p>
        </w:tc>
      </w:tr>
      <w:tr>
        <w:trPr>
          <w:trHeight w:val="257"/>
        </w:trPr>
        <w:tc>
          <w:tcPr>
            <w:tcW w:w="4980" w:type="dxa"/>
            <w:vAlign w:val="bottom"/>
            <w:gridSpan w:val="2"/>
          </w:tcPr>
          <w:p>
            <w:pPr>
              <w:ind w:left="4020"/>
              <w:spacing w:after="0"/>
              <w:rPr>
                <w:sz w:val="20"/>
                <w:szCs w:val="20"/>
                <w:color w:val="auto"/>
              </w:rPr>
            </w:pPr>
            <w:r>
              <w:rPr>
                <w:rFonts w:ascii="Times New Roman" w:cs="Times New Roman" w:eastAsia="Times New Roman" w:hAnsi="Times New Roman"/>
                <w:sz w:val="18"/>
                <w:szCs w:val="18"/>
                <w:b w:val="1"/>
                <w:bCs w:val="1"/>
                <w:color w:val="auto"/>
              </w:rPr>
              <w:t>Suite 155</w:t>
            </w:r>
          </w:p>
        </w:tc>
        <w:tc>
          <w:tcPr>
            <w:tcW w:w="3680" w:type="dxa"/>
            <w:vAlign w:val="bottom"/>
          </w:tcPr>
          <w:p>
            <w:pPr>
              <w:spacing w:after="0"/>
              <w:rPr>
                <w:sz w:val="22"/>
                <w:szCs w:val="22"/>
                <w:color w:val="auto"/>
              </w:rPr>
            </w:pPr>
          </w:p>
        </w:tc>
      </w:tr>
      <w:tr>
        <w:trPr>
          <w:trHeight w:val="257"/>
        </w:trPr>
        <w:tc>
          <w:tcPr>
            <w:tcW w:w="4980" w:type="dxa"/>
            <w:vAlign w:val="bottom"/>
            <w:tcBorders>
              <w:bottom w:val="single" w:sz="8" w:color="auto"/>
            </w:tcBorders>
            <w:gridSpan w:val="2"/>
          </w:tcPr>
          <w:p>
            <w:pPr>
              <w:ind w:left="3040"/>
              <w:spacing w:after="0"/>
              <w:rPr>
                <w:sz w:val="20"/>
                <w:szCs w:val="20"/>
                <w:color w:val="auto"/>
              </w:rPr>
            </w:pPr>
            <w:r>
              <w:rPr>
                <w:rFonts w:ascii="Times New Roman" w:cs="Times New Roman" w:eastAsia="Times New Roman" w:hAnsi="Times New Roman"/>
                <w:sz w:val="18"/>
                <w:szCs w:val="18"/>
                <w:b w:val="1"/>
                <w:bCs w:val="1"/>
                <w:color w:val="auto"/>
              </w:rPr>
              <w:t>Alpharetta,  GA</w:t>
            </w:r>
          </w:p>
        </w:tc>
        <w:tc>
          <w:tcPr>
            <w:tcW w:w="3680" w:type="dxa"/>
            <w:vAlign w:val="bottom"/>
            <w:tcBorders>
              <w:bottom w:val="single" w:sz="8" w:color="auto"/>
            </w:tcBorders>
          </w:tcPr>
          <w:p>
            <w:pPr>
              <w:jc w:val="right"/>
              <w:ind w:right="3133"/>
              <w:spacing w:after="0"/>
              <w:rPr>
                <w:sz w:val="20"/>
                <w:szCs w:val="20"/>
                <w:color w:val="auto"/>
              </w:rPr>
            </w:pPr>
            <w:r>
              <w:rPr>
                <w:rFonts w:ascii="Times New Roman" w:cs="Times New Roman" w:eastAsia="Times New Roman" w:hAnsi="Times New Roman"/>
                <w:sz w:val="18"/>
                <w:szCs w:val="18"/>
                <w:b w:val="1"/>
                <w:bCs w:val="1"/>
                <w:color w:val="auto"/>
                <w:w w:val="97"/>
              </w:rPr>
              <w:t>30004</w:t>
            </w:r>
          </w:p>
        </w:tc>
      </w:tr>
    </w:tbl>
    <w:p>
      <w:pPr>
        <w:spacing w:after="0" w:line="3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including zip code)</w:t>
      </w:r>
    </w:p>
    <w:p>
      <w:pPr>
        <w:spacing w:after="0" w:line="282" w:lineRule="exact"/>
        <w:rPr>
          <w:sz w:val="24"/>
          <w:szCs w:val="24"/>
          <w:color w:val="auto"/>
        </w:rPr>
      </w:pPr>
    </w:p>
    <w:p>
      <w:pPr>
        <w:ind w:left="6300" w:hanging="1630"/>
        <w:spacing w:after="0"/>
        <w:tabs>
          <w:tab w:leader="none" w:pos="63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935-5964</w:t>
      </w:r>
    </w:p>
    <w:p>
      <w:pPr>
        <w:spacing w:after="0" w:line="83" w:lineRule="exact"/>
        <w:rPr>
          <w:rFonts w:ascii="Times New Roman" w:cs="Times New Roman" w:eastAsia="Times New Roman" w:hAnsi="Times New Roman"/>
          <w:sz w:val="18"/>
          <w:szCs w:val="18"/>
          <w:b w:val="1"/>
          <w:bCs w:val="1"/>
          <w:color w:val="auto"/>
        </w:rPr>
      </w:pPr>
    </w:p>
    <w:p>
      <w:pPr>
        <w:ind w:left="39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b w:val="1"/>
          <w:bCs w:val="1"/>
          <w:color w:val="auto"/>
        </w:rPr>
        <w:t>(Registrant's 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819150</wp:posOffset>
            </wp:positionH>
            <wp:positionV relativeFrom="paragraph">
              <wp:posOffset>-149225</wp:posOffset>
            </wp:positionV>
            <wp:extent cx="5503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26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819150</wp:posOffset>
            </wp:positionH>
            <wp:positionV relativeFrom="paragraph">
              <wp:posOffset>17145</wp:posOffset>
            </wp:positionV>
            <wp:extent cx="55035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4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890" w:type="dxa"/>
        <w:tblCellMar>
          <w:top w:w="0" w:type="dxa"/>
          <w:left w:w="0" w:type="dxa"/>
          <w:bottom w:w="0" w:type="dxa"/>
          <w:right w:w="0" w:type="dxa"/>
        </w:tblCellMar>
      </w:tblPr>
      <w:tr>
        <w:trPr>
          <w:trHeight w:val="243"/>
        </w:trPr>
        <w:tc>
          <w:tcPr>
            <w:tcW w:w="32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00" w:type="dxa"/>
            <w:vAlign w:val="bottom"/>
            <w:tcBorders>
              <w:top w:val="single" w:sz="8" w:color="auto"/>
              <w:right w:val="single" w:sz="8" w:color="auto"/>
            </w:tcBorders>
          </w:tcPr>
          <w:p>
            <w:pPr>
              <w:spacing w:after="0"/>
              <w:rPr>
                <w:sz w:val="21"/>
                <w:szCs w:val="21"/>
                <w:color w:val="auto"/>
              </w:rPr>
            </w:pPr>
          </w:p>
        </w:tc>
        <w:tc>
          <w:tcPr>
            <w:tcW w:w="2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00" w:type="dxa"/>
            <w:vAlign w:val="bottom"/>
            <w:tcBorders>
              <w:top w:val="single" w:sz="8" w:color="auto"/>
              <w:right w:val="single" w:sz="8" w:color="auto"/>
            </w:tcBorders>
          </w:tcPr>
          <w:p>
            <w:pPr>
              <w:spacing w:after="0"/>
              <w:rPr>
                <w:sz w:val="21"/>
                <w:szCs w:val="21"/>
                <w:color w:val="auto"/>
              </w:rPr>
            </w:pP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3"/>
        </w:trPr>
        <w:tc>
          <w:tcPr>
            <w:tcW w:w="3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100" w:type="dxa"/>
            <w:vAlign w:val="bottom"/>
            <w:tcBorders>
              <w:bottom w:val="single" w:sz="8" w:color="auto"/>
              <w:right w:val="single" w:sz="8" w:color="auto"/>
            </w:tcBorders>
          </w:tcPr>
          <w:p>
            <w:pPr>
              <w:spacing w:after="0"/>
              <w:rPr>
                <w:sz w:val="19"/>
                <w:szCs w:val="19"/>
                <w:color w:val="auto"/>
              </w:rPr>
            </w:pP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PRTH</w:t>
            </w:r>
          </w:p>
        </w:tc>
        <w:tc>
          <w:tcPr>
            <w:tcW w:w="100" w:type="dxa"/>
            <w:vAlign w:val="bottom"/>
            <w:tcBorders>
              <w:bottom w:val="single" w:sz="8" w:color="auto"/>
              <w:right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31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2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3"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59" w:lineRule="exact"/>
        <w:rPr>
          <w:sz w:val="24"/>
          <w:szCs w:val="24"/>
          <w:color w:val="auto"/>
        </w:rPr>
      </w:pPr>
    </w:p>
    <w:p>
      <w:pPr>
        <w:ind w:right="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9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6, 2020, a total of 67,670,753 shares of common stock, par value $0.001 per share, were issued and 67,219,529 shares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84" w:right="459" w:bottom="947"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520" w:type="dxa"/>
            <w:vAlign w:val="bottom"/>
            <w:gridSpan w:val="4"/>
          </w:tcPr>
          <w:p>
            <w:pPr>
              <w:ind w:left="2460"/>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520" w:type="dxa"/>
            <w:vAlign w:val="bottom"/>
            <w:gridSpan w:val="4"/>
          </w:tcPr>
          <w:p>
            <w:pPr>
              <w:ind w:left="250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8"/>
        </w:trPr>
        <w:tc>
          <w:tcPr>
            <w:tcW w:w="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520" w:type="dxa"/>
            <w:vAlign w:val="bottom"/>
            <w:gridSpan w:val="4"/>
          </w:tcPr>
          <w:p>
            <w:pPr>
              <w:ind w:left="300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553"/>
        </w:trPr>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75"/>
        </w:trPr>
        <w:tc>
          <w:tcPr>
            <w:tcW w:w="840" w:type="dxa"/>
            <w:vAlign w:val="bottom"/>
          </w:tcPr>
          <w:p>
            <w:pPr>
              <w:ind w:left="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Part I.</w:t>
              </w:r>
            </w:hyperlink>
          </w:p>
        </w:tc>
        <w:tc>
          <w:tcPr>
            <w:tcW w:w="9560" w:type="dxa"/>
            <w:vAlign w:val="bottom"/>
            <w:gridSpan w:val="5"/>
          </w:tcPr>
          <w:p>
            <w:pPr>
              <w:ind w:left="6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Financial Information</w:t>
              </w:r>
            </w:hyperlink>
          </w:p>
        </w:tc>
        <w:tc>
          <w:tcPr>
            <w:tcW w:w="220" w:type="dxa"/>
            <w:vAlign w:val="bottom"/>
          </w:tcPr>
          <w:p>
            <w:pPr>
              <w:spacing w:after="0"/>
              <w:rPr>
                <w:sz w:val="24"/>
                <w:szCs w:val="24"/>
                <w:color w:val="auto"/>
              </w:rPr>
            </w:pPr>
          </w:p>
        </w:tc>
        <w:tc>
          <w:tcPr>
            <w:tcW w:w="360" w:type="dxa"/>
            <w:vAlign w:val="bottom"/>
            <w:tcBorders>
              <w:top w:val="single" w:sz="8" w:color="auto"/>
            </w:tcBorders>
          </w:tcPr>
          <w:p>
            <w:pPr>
              <w:jc w:val="center"/>
              <w:spacing w:after="0"/>
              <w:rPr>
                <w:rFonts w:ascii="Times New Roman" w:cs="Times New Roman" w:eastAsia="Times New Roman" w:hAnsi="Times New Roman"/>
                <w:sz w:val="18"/>
                <w:szCs w:val="18"/>
                <w:u w:val="single" w:color="auto"/>
                <w:color w:val="0000FF"/>
                <w:w w:val="88"/>
              </w:rPr>
            </w:pPr>
            <w:hyperlink w:anchor="page2">
              <w:r>
                <w:rPr>
                  <w:rFonts w:ascii="Times New Roman" w:cs="Times New Roman" w:eastAsia="Times New Roman" w:hAnsi="Times New Roman"/>
                  <w:sz w:val="18"/>
                  <w:szCs w:val="18"/>
                  <w:u w:val="single" w:color="auto"/>
                  <w:color w:val="0000FF"/>
                  <w:w w:val="88"/>
                </w:rPr>
                <w:t>1</w:t>
              </w:r>
            </w:hyperlink>
          </w:p>
        </w:tc>
        <w:tc>
          <w:tcPr>
            <w:tcW w:w="260" w:type="dxa"/>
            <w:vAlign w:val="bottom"/>
          </w:tcPr>
          <w:p>
            <w:pPr>
              <w:spacing w:after="0"/>
              <w:rPr>
                <w:sz w:val="24"/>
                <w:szCs w:val="24"/>
                <w:color w:val="auto"/>
              </w:rPr>
            </w:pPr>
          </w:p>
        </w:tc>
      </w:tr>
      <w:tr>
        <w:trPr>
          <w:trHeight w:val="229"/>
        </w:trPr>
        <w:tc>
          <w:tcPr>
            <w:tcW w:w="840" w:type="dxa"/>
            <w:vAlign w:val="bottom"/>
          </w:tcPr>
          <w:p>
            <w:pPr>
              <w:spacing w:after="0"/>
              <w:rPr>
                <w:sz w:val="19"/>
                <w:szCs w:val="19"/>
                <w:color w:val="auto"/>
              </w:rPr>
            </w:pPr>
          </w:p>
        </w:tc>
        <w:tc>
          <w:tcPr>
            <w:tcW w:w="1040" w:type="dxa"/>
            <w:vAlign w:val="bottom"/>
          </w:tcPr>
          <w:p>
            <w:pPr>
              <w:ind w:left="6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Item 1.</w:t>
              </w:r>
            </w:hyperlink>
          </w:p>
        </w:tc>
        <w:tc>
          <w:tcPr>
            <w:tcW w:w="8520" w:type="dxa"/>
            <w:vAlign w:val="bottom"/>
            <w:gridSpan w:val="4"/>
          </w:tcPr>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Financial Statements</w:t>
              </w:r>
            </w:hyperlink>
          </w:p>
        </w:tc>
        <w:tc>
          <w:tcPr>
            <w:tcW w:w="580" w:type="dxa"/>
            <w:vAlign w:val="bottom"/>
            <w:gridSpan w:val="2"/>
          </w:tcPr>
          <w:p>
            <w:pPr>
              <w:jc w:val="center"/>
              <w:ind w:left="130"/>
              <w:spacing w:after="0"/>
              <w:rPr>
                <w:rFonts w:ascii="Times New Roman" w:cs="Times New Roman" w:eastAsia="Times New Roman" w:hAnsi="Times New Roman"/>
                <w:sz w:val="18"/>
                <w:szCs w:val="18"/>
                <w:u w:val="single" w:color="auto"/>
                <w:color w:val="0000FF"/>
                <w:w w:val="88"/>
              </w:rPr>
            </w:pPr>
            <w:hyperlink w:anchor="page3">
              <w:r>
                <w:rPr>
                  <w:rFonts w:ascii="Times New Roman" w:cs="Times New Roman" w:eastAsia="Times New Roman" w:hAnsi="Times New Roman"/>
                  <w:sz w:val="18"/>
                  <w:szCs w:val="18"/>
                  <w:u w:val="single" w:color="auto"/>
                  <w:color w:val="0000FF"/>
                  <w:w w:val="88"/>
                </w:rPr>
                <w:t>1</w:t>
              </w:r>
            </w:hyperlink>
          </w:p>
        </w:tc>
        <w:tc>
          <w:tcPr>
            <w:tcW w:w="260" w:type="dxa"/>
            <w:vAlign w:val="bottom"/>
          </w:tcPr>
          <w:p>
            <w:pPr>
              <w:spacing w:after="0"/>
              <w:rPr>
                <w:sz w:val="19"/>
                <w:szCs w:val="19"/>
                <w:color w:val="auto"/>
              </w:rPr>
            </w:pPr>
          </w:p>
        </w:tc>
      </w:tr>
      <w:tr>
        <w:trPr>
          <w:trHeight w:val="229"/>
        </w:trPr>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520" w:type="dxa"/>
            <w:vAlign w:val="bottom"/>
            <w:gridSpan w:val="4"/>
          </w:tcPr>
          <w:p>
            <w:pPr>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Unaudited Condensed Consolidated Balance Sheets as of September 30, 2020 and December 31, 2019</w:t>
              </w:r>
            </w:hyperlink>
          </w:p>
        </w:tc>
        <w:tc>
          <w:tcPr>
            <w:tcW w:w="580" w:type="dxa"/>
            <w:vAlign w:val="bottom"/>
            <w:gridSpan w:val="2"/>
          </w:tcPr>
          <w:p>
            <w:pPr>
              <w:jc w:val="center"/>
              <w:ind w:left="130"/>
              <w:spacing w:after="0"/>
              <w:rPr>
                <w:rFonts w:ascii="Times New Roman" w:cs="Times New Roman" w:eastAsia="Times New Roman" w:hAnsi="Times New Roman"/>
                <w:sz w:val="18"/>
                <w:szCs w:val="18"/>
                <w:u w:val="single" w:color="auto"/>
                <w:color w:val="0000FF"/>
                <w:w w:val="88"/>
              </w:rPr>
            </w:pPr>
            <w:hyperlink w:anchor="page3">
              <w:r>
                <w:rPr>
                  <w:rFonts w:ascii="Times New Roman" w:cs="Times New Roman" w:eastAsia="Times New Roman" w:hAnsi="Times New Roman"/>
                  <w:sz w:val="18"/>
                  <w:szCs w:val="18"/>
                  <w:u w:val="single" w:color="auto"/>
                  <w:color w:val="0000FF"/>
                  <w:w w:val="88"/>
                </w:rPr>
                <w:t>1</w:t>
              </w:r>
            </w:hyperlink>
          </w:p>
        </w:tc>
        <w:tc>
          <w:tcPr>
            <w:tcW w:w="260" w:type="dxa"/>
            <w:vAlign w:val="bottom"/>
          </w:tcPr>
          <w:p>
            <w:pPr>
              <w:spacing w:after="0"/>
              <w:rPr>
                <w:sz w:val="19"/>
                <w:szCs w:val="19"/>
                <w:color w:val="auto"/>
              </w:rPr>
            </w:pPr>
          </w:p>
        </w:tc>
      </w:tr>
      <w:tr>
        <w:trPr>
          <w:trHeight w:val="194"/>
        </w:trPr>
        <w:tc>
          <w:tcPr>
            <w:tcW w:w="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520" w:type="dxa"/>
            <w:vAlign w:val="bottom"/>
            <w:gridSpan w:val="4"/>
          </w:tcPr>
          <w:p>
            <w:pPr>
              <w:spacing w:after="0" w:line="194"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u w:val="single" w:color="auto"/>
                  <w:color w:val="0000FF"/>
                </w:rPr>
                <w:t>Unaudited Condensed Consolidated Statements of Operations for the Three Months and</w:t>
              </w:r>
              <w:r>
                <w:rPr>
                  <w:rFonts w:ascii="Times New Roman" w:cs="Times New Roman" w:eastAsia="Times New Roman" w:hAnsi="Times New Roman"/>
                  <w:sz w:val="18"/>
                  <w:szCs w:val="18"/>
                  <w:color w:val="0000FF"/>
                </w:rPr>
                <w:t xml:space="preserve"> Nine Months Ended</w:t>
              </w:r>
            </w:hyperlink>
          </w:p>
        </w:tc>
        <w:tc>
          <w:tcPr>
            <w:tcW w:w="580" w:type="dxa"/>
            <w:vAlign w:val="bottom"/>
            <w:gridSpan w:val="2"/>
          </w:tcPr>
          <w:p>
            <w:pPr>
              <w:jc w:val="center"/>
              <w:ind w:left="130"/>
              <w:spacing w:after="0" w:line="194" w:lineRule="exact"/>
              <w:rPr>
                <w:rFonts w:ascii="Times New Roman" w:cs="Times New Roman" w:eastAsia="Times New Roman" w:hAnsi="Times New Roman"/>
                <w:sz w:val="18"/>
                <w:szCs w:val="18"/>
                <w:u w:val="single" w:color="auto"/>
                <w:color w:val="0000FF"/>
                <w:w w:val="88"/>
              </w:rPr>
            </w:pPr>
            <w:hyperlink w:anchor="page3">
              <w:r>
                <w:rPr>
                  <w:rFonts w:ascii="Times New Roman" w:cs="Times New Roman" w:eastAsia="Times New Roman" w:hAnsi="Times New Roman"/>
                  <w:sz w:val="18"/>
                  <w:szCs w:val="18"/>
                  <w:u w:val="single" w:color="auto"/>
                  <w:color w:val="0000FF"/>
                  <w:w w:val="88"/>
                </w:rPr>
                <w:t>2</w:t>
              </w:r>
            </w:hyperlink>
          </w:p>
        </w:tc>
        <w:tc>
          <w:tcPr>
            <w:tcW w:w="260" w:type="dxa"/>
            <w:vAlign w:val="bottom"/>
          </w:tcPr>
          <w:p>
            <w:pPr>
              <w:spacing w:after="0"/>
              <w:rPr>
                <w:sz w:val="16"/>
                <w:szCs w:val="16"/>
                <w:color w:val="auto"/>
              </w:rPr>
            </w:pPr>
          </w:p>
        </w:tc>
      </w:tr>
      <w:tr>
        <w:trPr>
          <w:trHeight w:val="191"/>
        </w:trPr>
        <w:tc>
          <w:tcPr>
            <w:tcW w:w="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380" w:type="dxa"/>
            <w:vAlign w:val="bottom"/>
          </w:tcPr>
          <w:p>
            <w:pPr>
              <w:spacing w:after="0" w:line="191" w:lineRule="exact"/>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September 30, 2020 and September 30, 2019</w:t>
              </w:r>
            </w:hyperlink>
          </w:p>
        </w:tc>
        <w:tc>
          <w:tcPr>
            <w:tcW w:w="180" w:type="dxa"/>
            <w:vAlign w:val="bottom"/>
            <w:tcBorders>
              <w:top w:val="single" w:sz="8" w:color="0000FF"/>
            </w:tcBorders>
          </w:tcPr>
          <w:p>
            <w:pPr>
              <w:spacing w:after="0"/>
              <w:rPr>
                <w:sz w:val="16"/>
                <w:szCs w:val="16"/>
                <w:color w:val="auto"/>
              </w:rPr>
            </w:pPr>
          </w:p>
        </w:tc>
        <w:tc>
          <w:tcPr>
            <w:tcW w:w="1260" w:type="dxa"/>
            <w:vAlign w:val="bottom"/>
            <w:tcBorders>
              <w:top w:val="single" w:sz="8" w:color="0000FF"/>
            </w:tcBorders>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4"/>
        </w:trPr>
        <w:tc>
          <w:tcPr>
            <w:tcW w:w="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520" w:type="dxa"/>
            <w:vAlign w:val="bottom"/>
            <w:gridSpan w:val="4"/>
          </w:tcPr>
          <w:p>
            <w:pPr>
              <w:spacing w:after="0" w:line="194"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 xml:space="preserve">Unaudited Condensed Consolidated Statements of Cash Flows for the Nine Months Ended </w:t>
              </w:r>
              <w:r>
                <w:rPr>
                  <w:rFonts w:ascii="Times New Roman" w:cs="Times New Roman" w:eastAsia="Times New Roman" w:hAnsi="Times New Roman"/>
                  <w:sz w:val="18"/>
                  <w:szCs w:val="18"/>
                  <w:u w:val="single" w:color="auto"/>
                  <w:color w:val="0000FF"/>
                </w:rPr>
                <w:t>September 30, 2020 and</w:t>
              </w:r>
            </w:hyperlink>
          </w:p>
        </w:tc>
        <w:tc>
          <w:tcPr>
            <w:tcW w:w="580" w:type="dxa"/>
            <w:vAlign w:val="bottom"/>
            <w:gridSpan w:val="2"/>
          </w:tcPr>
          <w:p>
            <w:pPr>
              <w:jc w:val="center"/>
              <w:ind w:left="130"/>
              <w:spacing w:after="0" w:line="194" w:lineRule="exact"/>
              <w:rPr>
                <w:rFonts w:ascii="Times New Roman" w:cs="Times New Roman" w:eastAsia="Times New Roman" w:hAnsi="Times New Roman"/>
                <w:sz w:val="18"/>
                <w:szCs w:val="18"/>
                <w:u w:val="single" w:color="auto"/>
                <w:color w:val="0000FF"/>
                <w:w w:val="88"/>
              </w:rPr>
            </w:pPr>
            <w:hyperlink w:anchor="page4">
              <w:r>
                <w:rPr>
                  <w:rFonts w:ascii="Times New Roman" w:cs="Times New Roman" w:eastAsia="Times New Roman" w:hAnsi="Times New Roman"/>
                  <w:sz w:val="18"/>
                  <w:szCs w:val="18"/>
                  <w:u w:val="single" w:color="auto"/>
                  <w:color w:val="0000FF"/>
                  <w:w w:val="88"/>
                </w:rPr>
                <w:t>3</w:t>
              </w:r>
            </w:hyperlink>
          </w:p>
        </w:tc>
        <w:tc>
          <w:tcPr>
            <w:tcW w:w="260" w:type="dxa"/>
            <w:vAlign w:val="bottom"/>
          </w:tcPr>
          <w:p>
            <w:pPr>
              <w:spacing w:after="0"/>
              <w:rPr>
                <w:sz w:val="16"/>
                <w:szCs w:val="16"/>
                <w:color w:val="auto"/>
              </w:rPr>
            </w:pPr>
          </w:p>
        </w:tc>
      </w:tr>
      <w:tr>
        <w:trPr>
          <w:trHeight w:val="191"/>
        </w:trPr>
        <w:tc>
          <w:tcPr>
            <w:tcW w:w="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560" w:type="dxa"/>
            <w:vAlign w:val="bottom"/>
            <w:tcBorders>
              <w:top w:val="single" w:sz="8" w:color="0000FF"/>
            </w:tcBorders>
            <w:gridSpan w:val="2"/>
          </w:tcPr>
          <w:p>
            <w:pPr>
              <w:spacing w:after="0" w:line="191" w:lineRule="exact"/>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September 30, 2019</w:t>
              </w:r>
            </w:hyperlink>
          </w:p>
        </w:tc>
        <w:tc>
          <w:tcPr>
            <w:tcW w:w="196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30"/>
        </w:trPr>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520" w:type="dxa"/>
            <w:vAlign w:val="bottom"/>
            <w:gridSpan w:val="4"/>
          </w:tcPr>
          <w:p>
            <w:pPr>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Notes to Unaudited Condensed Consolidated Financial Statements</w:t>
              </w:r>
            </w:hyperlink>
          </w:p>
        </w:tc>
        <w:tc>
          <w:tcPr>
            <w:tcW w:w="580" w:type="dxa"/>
            <w:vAlign w:val="bottom"/>
            <w:gridSpan w:val="2"/>
          </w:tcPr>
          <w:p>
            <w:pPr>
              <w:jc w:val="center"/>
              <w:ind w:left="130"/>
              <w:spacing w:after="0"/>
              <w:rPr>
                <w:rFonts w:ascii="Times New Roman" w:cs="Times New Roman" w:eastAsia="Times New Roman" w:hAnsi="Times New Roman"/>
                <w:sz w:val="18"/>
                <w:szCs w:val="18"/>
                <w:u w:val="single" w:color="auto"/>
                <w:color w:val="0000FF"/>
                <w:w w:val="88"/>
              </w:rPr>
            </w:pPr>
            <w:hyperlink w:anchor="page6">
              <w:r>
                <w:rPr>
                  <w:rFonts w:ascii="Times New Roman" w:cs="Times New Roman" w:eastAsia="Times New Roman" w:hAnsi="Times New Roman"/>
                  <w:sz w:val="18"/>
                  <w:szCs w:val="18"/>
                  <w:u w:val="single" w:color="auto"/>
                  <w:color w:val="0000FF"/>
                  <w:w w:val="88"/>
                </w:rPr>
                <w:t>5</w:t>
              </w:r>
            </w:hyperlink>
          </w:p>
        </w:tc>
        <w:tc>
          <w:tcPr>
            <w:tcW w:w="260" w:type="dxa"/>
            <w:vAlign w:val="bottom"/>
          </w:tcPr>
          <w:p>
            <w:pPr>
              <w:spacing w:after="0"/>
              <w:rPr>
                <w:sz w:val="19"/>
                <w:szCs w:val="19"/>
                <w:color w:val="auto"/>
              </w:rPr>
            </w:pPr>
          </w:p>
        </w:tc>
      </w:tr>
      <w:tr>
        <w:trPr>
          <w:trHeight w:val="229"/>
        </w:trPr>
        <w:tc>
          <w:tcPr>
            <w:tcW w:w="840" w:type="dxa"/>
            <w:vAlign w:val="bottom"/>
          </w:tcPr>
          <w:p>
            <w:pPr>
              <w:spacing w:after="0"/>
              <w:rPr>
                <w:sz w:val="19"/>
                <w:szCs w:val="19"/>
                <w:color w:val="auto"/>
              </w:rPr>
            </w:pPr>
          </w:p>
        </w:tc>
        <w:tc>
          <w:tcPr>
            <w:tcW w:w="1040" w:type="dxa"/>
            <w:vAlign w:val="bottom"/>
          </w:tcPr>
          <w:p>
            <w:pPr>
              <w:ind w:left="6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Item 2.</w:t>
              </w:r>
            </w:hyperlink>
          </w:p>
        </w:tc>
        <w:tc>
          <w:tcPr>
            <w:tcW w:w="8520" w:type="dxa"/>
            <w:vAlign w:val="bottom"/>
            <w:gridSpan w:val="4"/>
          </w:tcPr>
          <w:p>
            <w:pPr>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580" w:type="dxa"/>
            <w:vAlign w:val="bottom"/>
            <w:gridSpan w:val="2"/>
          </w:tcPr>
          <w:p>
            <w:pPr>
              <w:jc w:val="center"/>
              <w:ind w:left="150"/>
              <w:spacing w:after="0"/>
              <w:rPr>
                <w:rFonts w:ascii="Times New Roman" w:cs="Times New Roman" w:eastAsia="Times New Roman" w:hAnsi="Times New Roman"/>
                <w:sz w:val="18"/>
                <w:szCs w:val="18"/>
                <w:u w:val="single" w:color="auto"/>
                <w:color w:val="0000FF"/>
                <w:w w:val="99"/>
              </w:rPr>
            </w:pPr>
            <w:hyperlink w:anchor="page33">
              <w:r>
                <w:rPr>
                  <w:rFonts w:ascii="Times New Roman" w:cs="Times New Roman" w:eastAsia="Times New Roman" w:hAnsi="Times New Roman"/>
                  <w:sz w:val="18"/>
                  <w:szCs w:val="18"/>
                  <w:u w:val="single" w:color="auto"/>
                  <w:color w:val="0000FF"/>
                  <w:w w:val="99"/>
                </w:rPr>
                <w:t>32</w:t>
              </w:r>
            </w:hyperlink>
          </w:p>
        </w:tc>
        <w:tc>
          <w:tcPr>
            <w:tcW w:w="260" w:type="dxa"/>
            <w:vAlign w:val="bottom"/>
          </w:tcPr>
          <w:p>
            <w:pPr>
              <w:spacing w:after="0"/>
              <w:rPr>
                <w:sz w:val="19"/>
                <w:szCs w:val="19"/>
                <w:color w:val="auto"/>
              </w:rPr>
            </w:pPr>
          </w:p>
        </w:tc>
      </w:tr>
      <w:tr>
        <w:trPr>
          <w:trHeight w:val="229"/>
        </w:trPr>
        <w:tc>
          <w:tcPr>
            <w:tcW w:w="840" w:type="dxa"/>
            <w:vAlign w:val="bottom"/>
          </w:tcPr>
          <w:p>
            <w:pPr>
              <w:spacing w:after="0"/>
              <w:rPr>
                <w:sz w:val="19"/>
                <w:szCs w:val="19"/>
                <w:color w:val="auto"/>
              </w:rPr>
            </w:pPr>
          </w:p>
        </w:tc>
        <w:tc>
          <w:tcPr>
            <w:tcW w:w="1040" w:type="dxa"/>
            <w:vAlign w:val="bottom"/>
          </w:tcPr>
          <w:p>
            <w:pPr>
              <w:ind w:left="60"/>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Item 3.</w:t>
              </w:r>
            </w:hyperlink>
          </w:p>
        </w:tc>
        <w:tc>
          <w:tcPr>
            <w:tcW w:w="8520" w:type="dxa"/>
            <w:vAlign w:val="bottom"/>
            <w:gridSpan w:val="4"/>
          </w:tcPr>
          <w:p>
            <w:pPr>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Quantitative and Qualitative Disclosures about Market Risk</w:t>
              </w:r>
            </w:hyperlink>
          </w:p>
        </w:tc>
        <w:tc>
          <w:tcPr>
            <w:tcW w:w="580" w:type="dxa"/>
            <w:vAlign w:val="bottom"/>
            <w:gridSpan w:val="2"/>
          </w:tcPr>
          <w:p>
            <w:pPr>
              <w:jc w:val="center"/>
              <w:ind w:left="150"/>
              <w:spacing w:after="0"/>
              <w:rPr>
                <w:rFonts w:ascii="Times New Roman" w:cs="Times New Roman" w:eastAsia="Times New Roman" w:hAnsi="Times New Roman"/>
                <w:sz w:val="18"/>
                <w:szCs w:val="18"/>
                <w:u w:val="single" w:color="auto"/>
                <w:color w:val="0000FF"/>
                <w:w w:val="99"/>
              </w:rPr>
            </w:pPr>
            <w:hyperlink w:anchor="page52">
              <w:r>
                <w:rPr>
                  <w:rFonts w:ascii="Times New Roman" w:cs="Times New Roman" w:eastAsia="Times New Roman" w:hAnsi="Times New Roman"/>
                  <w:sz w:val="18"/>
                  <w:szCs w:val="18"/>
                  <w:u w:val="single" w:color="auto"/>
                  <w:color w:val="0000FF"/>
                  <w:w w:val="99"/>
                </w:rPr>
                <w:t>51</w:t>
              </w:r>
            </w:hyperlink>
          </w:p>
        </w:tc>
        <w:tc>
          <w:tcPr>
            <w:tcW w:w="260" w:type="dxa"/>
            <w:vAlign w:val="bottom"/>
          </w:tcPr>
          <w:p>
            <w:pPr>
              <w:spacing w:after="0"/>
              <w:rPr>
                <w:sz w:val="19"/>
                <w:szCs w:val="19"/>
                <w:color w:val="auto"/>
              </w:rPr>
            </w:pPr>
          </w:p>
        </w:tc>
      </w:tr>
      <w:tr>
        <w:trPr>
          <w:trHeight w:val="234"/>
        </w:trPr>
        <w:tc>
          <w:tcPr>
            <w:tcW w:w="840" w:type="dxa"/>
            <w:vAlign w:val="bottom"/>
          </w:tcPr>
          <w:p>
            <w:pPr>
              <w:spacing w:after="0"/>
              <w:rPr>
                <w:sz w:val="20"/>
                <w:szCs w:val="20"/>
                <w:color w:val="auto"/>
              </w:rPr>
            </w:pPr>
          </w:p>
        </w:tc>
        <w:tc>
          <w:tcPr>
            <w:tcW w:w="1040" w:type="dxa"/>
            <w:vAlign w:val="bottom"/>
          </w:tcPr>
          <w:p>
            <w:pPr>
              <w:ind w:left="60"/>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Item 4.</w:t>
              </w:r>
            </w:hyperlink>
          </w:p>
        </w:tc>
        <w:tc>
          <w:tcPr>
            <w:tcW w:w="8520" w:type="dxa"/>
            <w:vAlign w:val="bottom"/>
            <w:gridSpan w:val="4"/>
          </w:tcPr>
          <w:p>
            <w:pPr>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Controls and Procedures</w:t>
              </w:r>
            </w:hyperlink>
          </w:p>
        </w:tc>
        <w:tc>
          <w:tcPr>
            <w:tcW w:w="580" w:type="dxa"/>
            <w:vAlign w:val="bottom"/>
            <w:gridSpan w:val="2"/>
          </w:tcPr>
          <w:p>
            <w:pPr>
              <w:jc w:val="center"/>
              <w:ind w:left="150"/>
              <w:spacing w:after="0"/>
              <w:rPr>
                <w:rFonts w:ascii="Times New Roman" w:cs="Times New Roman" w:eastAsia="Times New Roman" w:hAnsi="Times New Roman"/>
                <w:sz w:val="18"/>
                <w:szCs w:val="18"/>
                <w:u w:val="single" w:color="auto"/>
                <w:color w:val="0000FF"/>
                <w:w w:val="99"/>
              </w:rPr>
            </w:pPr>
            <w:hyperlink w:anchor="page53">
              <w:r>
                <w:rPr>
                  <w:rFonts w:ascii="Times New Roman" w:cs="Times New Roman" w:eastAsia="Times New Roman" w:hAnsi="Times New Roman"/>
                  <w:sz w:val="18"/>
                  <w:szCs w:val="18"/>
                  <w:u w:val="single" w:color="auto"/>
                  <w:color w:val="0000FF"/>
                  <w:w w:val="99"/>
                </w:rPr>
                <w:t>51</w:t>
              </w:r>
            </w:hyperlink>
          </w:p>
        </w:tc>
        <w:tc>
          <w:tcPr>
            <w:tcW w:w="260" w:type="dxa"/>
            <w:vAlign w:val="bottom"/>
          </w:tcPr>
          <w:p>
            <w:pPr>
              <w:spacing w:after="0"/>
              <w:rPr>
                <w:sz w:val="20"/>
                <w:szCs w:val="20"/>
                <w:color w:val="auto"/>
              </w:rPr>
            </w:pPr>
          </w:p>
        </w:tc>
      </w:tr>
      <w:tr>
        <w:trPr>
          <w:trHeight w:val="481"/>
        </w:trPr>
        <w:tc>
          <w:tcPr>
            <w:tcW w:w="840" w:type="dxa"/>
            <w:vAlign w:val="bottom"/>
          </w:tcPr>
          <w:p>
            <w:pPr>
              <w:ind w:left="20"/>
              <w:spacing w:after="0"/>
              <w:rPr>
                <w:rFonts w:ascii="Times New Roman" w:cs="Times New Roman" w:eastAsia="Times New Roman" w:hAnsi="Times New Roman"/>
                <w:sz w:val="18"/>
                <w:szCs w:val="18"/>
                <w:color w:val="0000FF"/>
              </w:rPr>
            </w:pPr>
            <w:hyperlink w:anchor="page53">
              <w:r>
                <w:rPr>
                  <w:rFonts w:ascii="Times New Roman" w:cs="Times New Roman" w:eastAsia="Times New Roman" w:hAnsi="Times New Roman"/>
                  <w:sz w:val="18"/>
                  <w:szCs w:val="18"/>
                  <w:u w:val="single" w:color="auto"/>
                  <w:color w:val="0000FF"/>
                </w:rPr>
                <w:t>Part II</w:t>
              </w:r>
              <w:r>
                <w:rPr>
                  <w:rFonts w:ascii="Times New Roman" w:cs="Times New Roman" w:eastAsia="Times New Roman" w:hAnsi="Times New Roman"/>
                  <w:sz w:val="18"/>
                  <w:szCs w:val="18"/>
                  <w:color w:val="0000FF"/>
                </w:rPr>
                <w:t>.</w:t>
              </w:r>
            </w:hyperlink>
          </w:p>
        </w:tc>
        <w:tc>
          <w:tcPr>
            <w:tcW w:w="9560" w:type="dxa"/>
            <w:vAlign w:val="bottom"/>
            <w:gridSpan w:val="5"/>
          </w:tcPr>
          <w:p>
            <w:pPr>
              <w:ind w:left="60"/>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Other Information</w:t>
              </w:r>
            </w:hyperlink>
          </w:p>
        </w:tc>
        <w:tc>
          <w:tcPr>
            <w:tcW w:w="580" w:type="dxa"/>
            <w:vAlign w:val="bottom"/>
            <w:gridSpan w:val="2"/>
          </w:tcPr>
          <w:p>
            <w:pPr>
              <w:jc w:val="center"/>
              <w:ind w:left="150"/>
              <w:spacing w:after="0"/>
              <w:rPr>
                <w:rFonts w:ascii="Times New Roman" w:cs="Times New Roman" w:eastAsia="Times New Roman" w:hAnsi="Times New Roman"/>
                <w:sz w:val="18"/>
                <w:szCs w:val="18"/>
                <w:u w:val="single" w:color="auto"/>
                <w:color w:val="0000FF"/>
                <w:w w:val="99"/>
              </w:rPr>
            </w:pPr>
            <w:hyperlink w:anchor="page53">
              <w:r>
                <w:rPr>
                  <w:rFonts w:ascii="Times New Roman" w:cs="Times New Roman" w:eastAsia="Times New Roman" w:hAnsi="Times New Roman"/>
                  <w:sz w:val="18"/>
                  <w:szCs w:val="18"/>
                  <w:u w:val="single" w:color="auto"/>
                  <w:color w:val="0000FF"/>
                  <w:w w:val="99"/>
                </w:rPr>
                <w:t>52</w:t>
              </w:r>
            </w:hyperlink>
          </w:p>
        </w:tc>
        <w:tc>
          <w:tcPr>
            <w:tcW w:w="260" w:type="dxa"/>
            <w:vAlign w:val="bottom"/>
          </w:tcPr>
          <w:p>
            <w:pPr>
              <w:spacing w:after="0"/>
              <w:rPr>
                <w:sz w:val="24"/>
                <w:szCs w:val="24"/>
                <w:color w:val="auto"/>
              </w:rPr>
            </w:pPr>
          </w:p>
        </w:tc>
      </w:tr>
      <w:tr>
        <w:trPr>
          <w:trHeight w:val="229"/>
        </w:trPr>
        <w:tc>
          <w:tcPr>
            <w:tcW w:w="840" w:type="dxa"/>
            <w:vAlign w:val="bottom"/>
          </w:tcPr>
          <w:p>
            <w:pPr>
              <w:spacing w:after="0"/>
              <w:rPr>
                <w:sz w:val="19"/>
                <w:szCs w:val="19"/>
                <w:color w:val="auto"/>
              </w:rPr>
            </w:pPr>
          </w:p>
        </w:tc>
        <w:tc>
          <w:tcPr>
            <w:tcW w:w="1040" w:type="dxa"/>
            <w:vAlign w:val="bottom"/>
          </w:tcPr>
          <w:p>
            <w:pPr>
              <w:ind w:left="60"/>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Item 1.</w:t>
              </w:r>
            </w:hyperlink>
          </w:p>
        </w:tc>
        <w:tc>
          <w:tcPr>
            <w:tcW w:w="8520" w:type="dxa"/>
            <w:vAlign w:val="bottom"/>
            <w:gridSpan w:val="4"/>
          </w:tcPr>
          <w:p>
            <w:pPr>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Legal Proceedings</w:t>
              </w:r>
            </w:hyperlink>
          </w:p>
        </w:tc>
        <w:tc>
          <w:tcPr>
            <w:tcW w:w="580" w:type="dxa"/>
            <w:vAlign w:val="bottom"/>
            <w:gridSpan w:val="2"/>
          </w:tcPr>
          <w:p>
            <w:pPr>
              <w:jc w:val="center"/>
              <w:ind w:left="150"/>
              <w:spacing w:after="0"/>
              <w:rPr>
                <w:rFonts w:ascii="Times New Roman" w:cs="Times New Roman" w:eastAsia="Times New Roman" w:hAnsi="Times New Roman"/>
                <w:sz w:val="18"/>
                <w:szCs w:val="18"/>
                <w:u w:val="single" w:color="auto"/>
                <w:color w:val="0000FF"/>
                <w:w w:val="99"/>
              </w:rPr>
            </w:pPr>
            <w:hyperlink w:anchor="page54">
              <w:r>
                <w:rPr>
                  <w:rFonts w:ascii="Times New Roman" w:cs="Times New Roman" w:eastAsia="Times New Roman" w:hAnsi="Times New Roman"/>
                  <w:sz w:val="18"/>
                  <w:szCs w:val="18"/>
                  <w:u w:val="single" w:color="auto"/>
                  <w:color w:val="0000FF"/>
                  <w:w w:val="99"/>
                </w:rPr>
                <w:t>52</w:t>
              </w:r>
            </w:hyperlink>
          </w:p>
        </w:tc>
        <w:tc>
          <w:tcPr>
            <w:tcW w:w="26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1040" w:type="dxa"/>
            <w:vAlign w:val="bottom"/>
          </w:tcPr>
          <w:p>
            <w:pPr>
              <w:ind w:left="60"/>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Item 1A.</w:t>
              </w:r>
            </w:hyperlink>
          </w:p>
        </w:tc>
        <w:tc>
          <w:tcPr>
            <w:tcW w:w="8520" w:type="dxa"/>
            <w:vAlign w:val="bottom"/>
            <w:gridSpan w:val="4"/>
          </w:tcPr>
          <w:p>
            <w:pPr>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Risk Factors</w:t>
              </w:r>
            </w:hyperlink>
          </w:p>
        </w:tc>
        <w:tc>
          <w:tcPr>
            <w:tcW w:w="580" w:type="dxa"/>
            <w:vAlign w:val="bottom"/>
            <w:gridSpan w:val="2"/>
          </w:tcPr>
          <w:p>
            <w:pPr>
              <w:jc w:val="center"/>
              <w:ind w:left="150"/>
              <w:spacing w:after="0"/>
              <w:rPr>
                <w:rFonts w:ascii="Times New Roman" w:cs="Times New Roman" w:eastAsia="Times New Roman" w:hAnsi="Times New Roman"/>
                <w:sz w:val="18"/>
                <w:szCs w:val="18"/>
                <w:u w:val="single" w:color="auto"/>
                <w:color w:val="0000FF"/>
                <w:w w:val="99"/>
              </w:rPr>
            </w:pPr>
            <w:hyperlink w:anchor="page54">
              <w:r>
                <w:rPr>
                  <w:rFonts w:ascii="Times New Roman" w:cs="Times New Roman" w:eastAsia="Times New Roman" w:hAnsi="Times New Roman"/>
                  <w:sz w:val="18"/>
                  <w:szCs w:val="18"/>
                  <w:u w:val="single" w:color="auto"/>
                  <w:color w:val="0000FF"/>
                  <w:w w:val="99"/>
                </w:rPr>
                <w:t>52</w:t>
              </w:r>
            </w:hyperlink>
          </w:p>
        </w:tc>
        <w:tc>
          <w:tcPr>
            <w:tcW w:w="260" w:type="dxa"/>
            <w:vAlign w:val="bottom"/>
          </w:tcPr>
          <w:p>
            <w:pPr>
              <w:spacing w:after="0"/>
              <w:rPr>
                <w:sz w:val="19"/>
                <w:szCs w:val="19"/>
                <w:color w:val="auto"/>
              </w:rPr>
            </w:pPr>
          </w:p>
        </w:tc>
      </w:tr>
      <w:tr>
        <w:trPr>
          <w:trHeight w:val="229"/>
        </w:trPr>
        <w:tc>
          <w:tcPr>
            <w:tcW w:w="840" w:type="dxa"/>
            <w:vAlign w:val="bottom"/>
          </w:tcPr>
          <w:p>
            <w:pPr>
              <w:spacing w:after="0"/>
              <w:rPr>
                <w:sz w:val="19"/>
                <w:szCs w:val="19"/>
                <w:color w:val="auto"/>
              </w:rPr>
            </w:pPr>
          </w:p>
        </w:tc>
        <w:tc>
          <w:tcPr>
            <w:tcW w:w="1040" w:type="dxa"/>
            <w:vAlign w:val="bottom"/>
          </w:tcPr>
          <w:p>
            <w:pPr>
              <w:ind w:left="60"/>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Item 2.</w:t>
              </w:r>
            </w:hyperlink>
          </w:p>
        </w:tc>
        <w:tc>
          <w:tcPr>
            <w:tcW w:w="8520" w:type="dxa"/>
            <w:vAlign w:val="bottom"/>
            <w:gridSpan w:val="4"/>
          </w:tcPr>
          <w:p>
            <w:pPr>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Unregistered Sales of Equity Securities and Use of Proceeds</w:t>
              </w:r>
            </w:hyperlink>
          </w:p>
        </w:tc>
        <w:tc>
          <w:tcPr>
            <w:tcW w:w="580" w:type="dxa"/>
            <w:vAlign w:val="bottom"/>
            <w:gridSpan w:val="2"/>
          </w:tcPr>
          <w:p>
            <w:pPr>
              <w:jc w:val="center"/>
              <w:ind w:left="150"/>
              <w:spacing w:after="0"/>
              <w:rPr>
                <w:rFonts w:ascii="Times New Roman" w:cs="Times New Roman" w:eastAsia="Times New Roman" w:hAnsi="Times New Roman"/>
                <w:sz w:val="18"/>
                <w:szCs w:val="18"/>
                <w:u w:val="single" w:color="auto"/>
                <w:color w:val="0000FF"/>
                <w:w w:val="99"/>
              </w:rPr>
            </w:pPr>
            <w:hyperlink w:anchor="page54">
              <w:r>
                <w:rPr>
                  <w:rFonts w:ascii="Times New Roman" w:cs="Times New Roman" w:eastAsia="Times New Roman" w:hAnsi="Times New Roman"/>
                  <w:sz w:val="18"/>
                  <w:szCs w:val="18"/>
                  <w:u w:val="single" w:color="auto"/>
                  <w:color w:val="0000FF"/>
                  <w:w w:val="99"/>
                </w:rPr>
                <w:t>52</w:t>
              </w:r>
            </w:hyperlink>
          </w:p>
        </w:tc>
        <w:tc>
          <w:tcPr>
            <w:tcW w:w="26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1040" w:type="dxa"/>
            <w:vAlign w:val="bottom"/>
          </w:tcPr>
          <w:p>
            <w:pPr>
              <w:ind w:left="60"/>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Item 3.</w:t>
              </w:r>
            </w:hyperlink>
          </w:p>
        </w:tc>
        <w:tc>
          <w:tcPr>
            <w:tcW w:w="8520" w:type="dxa"/>
            <w:vAlign w:val="bottom"/>
            <w:gridSpan w:val="4"/>
          </w:tcPr>
          <w:p>
            <w:pPr>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Defaults Upon Senior Securities</w:t>
              </w:r>
            </w:hyperlink>
          </w:p>
        </w:tc>
        <w:tc>
          <w:tcPr>
            <w:tcW w:w="580" w:type="dxa"/>
            <w:vAlign w:val="bottom"/>
            <w:gridSpan w:val="2"/>
          </w:tcPr>
          <w:p>
            <w:pPr>
              <w:jc w:val="center"/>
              <w:ind w:left="150"/>
              <w:spacing w:after="0"/>
              <w:rPr>
                <w:rFonts w:ascii="Times New Roman" w:cs="Times New Roman" w:eastAsia="Times New Roman" w:hAnsi="Times New Roman"/>
                <w:sz w:val="18"/>
                <w:szCs w:val="18"/>
                <w:u w:val="single" w:color="auto"/>
                <w:color w:val="0000FF"/>
                <w:w w:val="99"/>
              </w:rPr>
            </w:pPr>
            <w:hyperlink w:anchor="page54">
              <w:r>
                <w:rPr>
                  <w:rFonts w:ascii="Times New Roman" w:cs="Times New Roman" w:eastAsia="Times New Roman" w:hAnsi="Times New Roman"/>
                  <w:sz w:val="18"/>
                  <w:szCs w:val="18"/>
                  <w:u w:val="single" w:color="auto"/>
                  <w:color w:val="0000FF"/>
                  <w:w w:val="99"/>
                </w:rPr>
                <w:t>53</w:t>
              </w:r>
            </w:hyperlink>
          </w:p>
        </w:tc>
        <w:tc>
          <w:tcPr>
            <w:tcW w:w="26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1040" w:type="dxa"/>
            <w:vAlign w:val="bottom"/>
          </w:tcPr>
          <w:p>
            <w:pPr>
              <w:ind w:left="60"/>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Item 4.</w:t>
              </w:r>
            </w:hyperlink>
          </w:p>
        </w:tc>
        <w:tc>
          <w:tcPr>
            <w:tcW w:w="8520" w:type="dxa"/>
            <w:vAlign w:val="bottom"/>
            <w:gridSpan w:val="4"/>
          </w:tcPr>
          <w:p>
            <w:pPr>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Mine Safety Disclosures</w:t>
              </w:r>
            </w:hyperlink>
          </w:p>
        </w:tc>
        <w:tc>
          <w:tcPr>
            <w:tcW w:w="580" w:type="dxa"/>
            <w:vAlign w:val="bottom"/>
            <w:gridSpan w:val="2"/>
          </w:tcPr>
          <w:p>
            <w:pPr>
              <w:jc w:val="center"/>
              <w:ind w:left="150"/>
              <w:spacing w:after="0"/>
              <w:rPr>
                <w:rFonts w:ascii="Times New Roman" w:cs="Times New Roman" w:eastAsia="Times New Roman" w:hAnsi="Times New Roman"/>
                <w:sz w:val="18"/>
                <w:szCs w:val="18"/>
                <w:u w:val="single" w:color="auto"/>
                <w:color w:val="0000FF"/>
                <w:w w:val="99"/>
              </w:rPr>
            </w:pPr>
            <w:hyperlink w:anchor="page55">
              <w:r>
                <w:rPr>
                  <w:rFonts w:ascii="Times New Roman" w:cs="Times New Roman" w:eastAsia="Times New Roman" w:hAnsi="Times New Roman"/>
                  <w:sz w:val="18"/>
                  <w:szCs w:val="18"/>
                  <w:u w:val="single" w:color="auto"/>
                  <w:color w:val="0000FF"/>
                  <w:w w:val="99"/>
                </w:rPr>
                <w:t>53</w:t>
              </w:r>
            </w:hyperlink>
          </w:p>
        </w:tc>
        <w:tc>
          <w:tcPr>
            <w:tcW w:w="260" w:type="dxa"/>
            <w:vAlign w:val="bottom"/>
          </w:tcPr>
          <w:p>
            <w:pPr>
              <w:spacing w:after="0"/>
              <w:rPr>
                <w:sz w:val="19"/>
                <w:szCs w:val="19"/>
                <w:color w:val="auto"/>
              </w:rPr>
            </w:pPr>
          </w:p>
        </w:tc>
      </w:tr>
      <w:tr>
        <w:trPr>
          <w:trHeight w:val="234"/>
        </w:trPr>
        <w:tc>
          <w:tcPr>
            <w:tcW w:w="840" w:type="dxa"/>
            <w:vAlign w:val="bottom"/>
          </w:tcPr>
          <w:p>
            <w:pPr>
              <w:spacing w:after="0"/>
              <w:rPr>
                <w:sz w:val="20"/>
                <w:szCs w:val="20"/>
                <w:color w:val="auto"/>
              </w:rPr>
            </w:pPr>
          </w:p>
        </w:tc>
        <w:tc>
          <w:tcPr>
            <w:tcW w:w="1040" w:type="dxa"/>
            <w:vAlign w:val="bottom"/>
          </w:tcPr>
          <w:p>
            <w:pPr>
              <w:ind w:left="60"/>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Item 5.</w:t>
              </w:r>
            </w:hyperlink>
          </w:p>
        </w:tc>
        <w:tc>
          <w:tcPr>
            <w:tcW w:w="8520" w:type="dxa"/>
            <w:vAlign w:val="bottom"/>
            <w:gridSpan w:val="4"/>
          </w:tcPr>
          <w:p>
            <w:pPr>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Other Information</w:t>
              </w:r>
            </w:hyperlink>
          </w:p>
        </w:tc>
        <w:tc>
          <w:tcPr>
            <w:tcW w:w="580" w:type="dxa"/>
            <w:vAlign w:val="bottom"/>
            <w:gridSpan w:val="2"/>
          </w:tcPr>
          <w:p>
            <w:pPr>
              <w:jc w:val="center"/>
              <w:ind w:left="150"/>
              <w:spacing w:after="0"/>
              <w:rPr>
                <w:rFonts w:ascii="Times New Roman" w:cs="Times New Roman" w:eastAsia="Times New Roman" w:hAnsi="Times New Roman"/>
                <w:sz w:val="18"/>
                <w:szCs w:val="18"/>
                <w:u w:val="single" w:color="auto"/>
                <w:color w:val="0000FF"/>
                <w:w w:val="99"/>
              </w:rPr>
            </w:pPr>
            <w:hyperlink w:anchor="page55">
              <w:r>
                <w:rPr>
                  <w:rFonts w:ascii="Times New Roman" w:cs="Times New Roman" w:eastAsia="Times New Roman" w:hAnsi="Times New Roman"/>
                  <w:sz w:val="18"/>
                  <w:szCs w:val="18"/>
                  <w:u w:val="single" w:color="auto"/>
                  <w:color w:val="0000FF"/>
                  <w:w w:val="99"/>
                </w:rPr>
                <w:t>53</w:t>
              </w:r>
            </w:hyperlink>
          </w:p>
        </w:tc>
        <w:tc>
          <w:tcPr>
            <w:tcW w:w="260" w:type="dxa"/>
            <w:vAlign w:val="bottom"/>
          </w:tcPr>
          <w:p>
            <w:pPr>
              <w:spacing w:after="0"/>
              <w:rPr>
                <w:sz w:val="20"/>
                <w:szCs w:val="20"/>
                <w:color w:val="auto"/>
              </w:rPr>
            </w:pPr>
          </w:p>
        </w:tc>
      </w:tr>
      <w:tr>
        <w:trPr>
          <w:trHeight w:val="499"/>
        </w:trPr>
        <w:tc>
          <w:tcPr>
            <w:tcW w:w="840" w:type="dxa"/>
            <w:vAlign w:val="bottom"/>
          </w:tcPr>
          <w:p>
            <w:pPr>
              <w:spacing w:after="0"/>
              <w:rPr>
                <w:sz w:val="24"/>
                <w:szCs w:val="24"/>
                <w:color w:val="auto"/>
              </w:rPr>
            </w:pPr>
          </w:p>
        </w:tc>
        <w:tc>
          <w:tcPr>
            <w:tcW w:w="1040" w:type="dxa"/>
            <w:vAlign w:val="bottom"/>
          </w:tcPr>
          <w:p>
            <w:pPr>
              <w:ind w:left="60"/>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Item 6.</w:t>
              </w:r>
            </w:hyperlink>
          </w:p>
        </w:tc>
        <w:tc>
          <w:tcPr>
            <w:tcW w:w="8520" w:type="dxa"/>
            <w:vAlign w:val="bottom"/>
            <w:gridSpan w:val="4"/>
          </w:tcPr>
          <w:p>
            <w:pPr>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Exhibits</w:t>
              </w:r>
            </w:hyperlink>
          </w:p>
        </w:tc>
        <w:tc>
          <w:tcPr>
            <w:tcW w:w="580" w:type="dxa"/>
            <w:vAlign w:val="bottom"/>
            <w:gridSpan w:val="2"/>
          </w:tcPr>
          <w:p>
            <w:pPr>
              <w:jc w:val="center"/>
              <w:ind w:left="150"/>
              <w:spacing w:after="0"/>
              <w:rPr>
                <w:rFonts w:ascii="Times New Roman" w:cs="Times New Roman" w:eastAsia="Times New Roman" w:hAnsi="Times New Roman"/>
                <w:sz w:val="18"/>
                <w:szCs w:val="18"/>
                <w:u w:val="single" w:color="auto"/>
                <w:color w:val="0000FF"/>
                <w:w w:val="99"/>
              </w:rPr>
            </w:pPr>
            <w:hyperlink w:anchor="page55">
              <w:r>
                <w:rPr>
                  <w:rFonts w:ascii="Times New Roman" w:cs="Times New Roman" w:eastAsia="Times New Roman" w:hAnsi="Times New Roman"/>
                  <w:sz w:val="18"/>
                  <w:szCs w:val="18"/>
                  <w:u w:val="single" w:color="auto"/>
                  <w:color w:val="0000FF"/>
                  <w:w w:val="99"/>
                </w:rPr>
                <w:t>54</w:t>
              </w:r>
            </w:hyperlink>
          </w:p>
        </w:tc>
        <w:tc>
          <w:tcPr>
            <w:tcW w:w="260" w:type="dxa"/>
            <w:vAlign w:val="bottom"/>
          </w:tcPr>
          <w:p>
            <w:pPr>
              <w:spacing w:after="0"/>
              <w:rPr>
                <w:sz w:val="24"/>
                <w:szCs w:val="24"/>
                <w:color w:val="auto"/>
              </w:rPr>
            </w:pPr>
          </w:p>
        </w:tc>
      </w:tr>
      <w:tr>
        <w:trPr>
          <w:trHeight w:val="486"/>
        </w:trPr>
        <w:tc>
          <w:tcPr>
            <w:tcW w:w="840" w:type="dxa"/>
            <w:vAlign w:val="bottom"/>
          </w:tcPr>
          <w:p>
            <w:pPr>
              <w:ind w:left="2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Signatures</w:t>
              </w:r>
            </w:hyperlink>
          </w:p>
        </w:tc>
        <w:tc>
          <w:tcPr>
            <w:tcW w:w="10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gridSpan w:val="2"/>
          </w:tcPr>
          <w:p>
            <w:pPr>
              <w:jc w:val="center"/>
              <w:ind w:left="150"/>
              <w:spacing w:after="0"/>
              <w:rPr>
                <w:rFonts w:ascii="Times New Roman" w:cs="Times New Roman" w:eastAsia="Times New Roman" w:hAnsi="Times New Roman"/>
                <w:sz w:val="18"/>
                <w:szCs w:val="18"/>
                <w:u w:val="single" w:color="auto"/>
                <w:color w:val="0000FF"/>
                <w:w w:val="99"/>
              </w:rPr>
            </w:pPr>
            <w:hyperlink w:anchor="page56">
              <w:r>
                <w:rPr>
                  <w:rFonts w:ascii="Times New Roman" w:cs="Times New Roman" w:eastAsia="Times New Roman" w:hAnsi="Times New Roman"/>
                  <w:sz w:val="18"/>
                  <w:szCs w:val="18"/>
                  <w:u w:val="single" w:color="auto"/>
                  <w:color w:val="0000FF"/>
                  <w:w w:val="99"/>
                </w:rPr>
                <w:t>55</w:t>
              </w:r>
            </w:hyperlink>
          </w:p>
        </w:tc>
        <w:tc>
          <w:tcPr>
            <w:tcW w:w="260" w:type="dxa"/>
            <w:vAlign w:val="bottom"/>
          </w:tcPr>
          <w:p>
            <w:pPr>
              <w:spacing w:after="0"/>
              <w:rPr>
                <w:sz w:val="24"/>
                <w:szCs w:val="24"/>
                <w:color w:val="auto"/>
              </w:rPr>
            </w:pPr>
          </w:p>
        </w:tc>
      </w:tr>
      <w:tr>
        <w:trPr>
          <w:trHeight w:val="1843"/>
        </w:trPr>
        <w:tc>
          <w:tcPr>
            <w:tcW w:w="8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180" w:type="dxa"/>
            <w:vAlign w:val="bottom"/>
          </w:tcPr>
          <w:p>
            <w:pPr>
              <w:spacing w:after="0"/>
              <w:rPr>
                <w:sz w:val="19"/>
                <w:szCs w:val="19"/>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09"/>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0" w:type="dxa"/>
            <w:vAlign w:val="bottom"/>
          </w:tcPr>
          <w:p>
            <w:pPr>
              <w:spacing w:after="0"/>
              <w:rPr>
                <w:sz w:val="1"/>
                <w:szCs w:val="1"/>
                <w:color w:val="auto"/>
              </w:rPr>
            </w:pPr>
          </w:p>
        </w:tc>
      </w:tr>
      <w:tr>
        <w:trPr>
          <w:trHeight w:val="230"/>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47,231</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$544 and $803</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37,993</w:t>
            </w:r>
          </w:p>
        </w:tc>
        <w:tc>
          <w:tcPr>
            <w:tcW w:w="0" w:type="dxa"/>
            <w:vAlign w:val="bottom"/>
          </w:tcPr>
          <w:p>
            <w:pPr>
              <w:spacing w:after="0"/>
              <w:rPr>
                <w:sz w:val="1"/>
                <w:szCs w:val="1"/>
                <w:color w:val="auto"/>
              </w:rPr>
            </w:pP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notes receivable</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Settlement assets</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94,214</w:t>
            </w:r>
          </w:p>
        </w:tc>
        <w:tc>
          <w:tcPr>
            <w:tcW w:w="0" w:type="dxa"/>
            <w:vAlign w:val="bottom"/>
          </w:tcPr>
          <w:p>
            <w:pPr>
              <w:spacing w:after="0"/>
              <w:rPr>
                <w:sz w:val="1"/>
                <w:szCs w:val="1"/>
                <w:color w:val="auto"/>
              </w:rPr>
            </w:pPr>
          </w:p>
        </w:tc>
      </w:tr>
      <w:tr>
        <w:trPr>
          <w:trHeight w:val="108"/>
        </w:trPr>
        <w:tc>
          <w:tcPr>
            <w:tcW w:w="7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less current portion</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23,518</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109,515</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182,826</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49,657</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464,505</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7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26,965</w:t>
            </w:r>
          </w:p>
        </w:tc>
        <w:tc>
          <w:tcPr>
            <w:tcW w:w="0" w:type="dxa"/>
            <w:vAlign w:val="bottom"/>
          </w:tcPr>
          <w:p>
            <w:pPr>
              <w:spacing w:after="0"/>
              <w:rPr>
                <w:sz w:val="1"/>
                <w:szCs w:val="1"/>
                <w:color w:val="auto"/>
              </w:rPr>
            </w:pP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residual commissions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0" w:type="dxa"/>
            <w:vAlign w:val="bottom"/>
          </w:tcPr>
          <w:p>
            <w:pPr>
              <w:spacing w:after="0"/>
              <w:rPr>
                <w:sz w:val="1"/>
                <w:szCs w:val="1"/>
                <w:color w:val="auto"/>
              </w:rPr>
            </w:pPr>
          </w:p>
        </w:tc>
      </w:tr>
      <w:tr>
        <w:trPr>
          <w:trHeight w:val="230"/>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Settlement obligations</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37,789</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93,004</w:t>
            </w:r>
          </w:p>
        </w:tc>
        <w:tc>
          <w:tcPr>
            <w:tcW w:w="0" w:type="dxa"/>
            <w:vAlign w:val="bottom"/>
          </w:tcPr>
          <w:p>
            <w:pPr>
              <w:spacing w:after="0"/>
              <w:rPr>
                <w:sz w:val="1"/>
                <w:szCs w:val="1"/>
                <w:color w:val="auto"/>
              </w:rPr>
            </w:pPr>
          </w:p>
        </w:tc>
      </w:tr>
      <w:tr>
        <w:trPr>
          <w:trHeight w:val="142"/>
        </w:trPr>
        <w:tc>
          <w:tcPr>
            <w:tcW w:w="7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 discounts and debt issuance costs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485,578</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492,190</w:t>
            </w:r>
          </w:p>
        </w:tc>
        <w:tc>
          <w:tcPr>
            <w:tcW w:w="0" w:type="dxa"/>
            <w:vAlign w:val="bottom"/>
          </w:tcPr>
          <w:p>
            <w:pPr>
              <w:spacing w:after="0"/>
              <w:rPr>
                <w:sz w:val="1"/>
                <w:szCs w:val="1"/>
                <w:color w:val="auto"/>
              </w:rPr>
            </w:pPr>
          </w:p>
        </w:tc>
      </w:tr>
      <w:tr>
        <w:trPr>
          <w:trHeight w:val="88"/>
        </w:trPr>
        <w:tc>
          <w:tcPr>
            <w:tcW w:w="7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585,194</w:t>
            </w:r>
          </w:p>
        </w:tc>
        <w:tc>
          <w:tcPr>
            <w:tcW w:w="0" w:type="dxa"/>
            <w:vAlign w:val="bottom"/>
          </w:tcPr>
          <w:p>
            <w:pPr>
              <w:spacing w:after="0"/>
              <w:rPr>
                <w:sz w:val="1"/>
                <w:szCs w:val="1"/>
                <w:color w:val="auto"/>
              </w:rPr>
            </w:pPr>
          </w:p>
        </w:tc>
      </w:tr>
      <w:tr>
        <w:trPr>
          <w:trHeight w:val="142"/>
        </w:trPr>
        <w:tc>
          <w:tcPr>
            <w:tcW w:w="7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stock - $0.001 par value per share; 100,000,000 shares authorized; zero issued or</w:t>
            </w:r>
          </w:p>
        </w:tc>
        <w:tc>
          <w:tcPr>
            <w:tcW w:w="160" w:type="dxa"/>
            <w:vAlign w:val="bottom"/>
          </w:tcPr>
          <w:p>
            <w:pPr>
              <w:spacing w:after="0"/>
              <w:rPr>
                <w:sz w:val="15"/>
                <w:szCs w:val="15"/>
                <w:color w:val="auto"/>
              </w:rPr>
            </w:pPr>
          </w:p>
        </w:tc>
        <w:tc>
          <w:tcPr>
            <w:tcW w:w="1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160" w:type="dxa"/>
            <w:vAlign w:val="bottom"/>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 $0.001 par value per share; 1,000,000,000 shares authorized; 67,617,561 and</w:t>
            </w:r>
          </w:p>
        </w:tc>
        <w:tc>
          <w:tcPr>
            <w:tcW w:w="16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67,512,167 shares issued, respectively; 67,166,337 and 67,060,943 shares outstanding,</w:t>
            </w:r>
          </w:p>
        </w:tc>
        <w:tc>
          <w:tcPr>
            <w:tcW w:w="160" w:type="dxa"/>
            <w:vAlign w:val="bottom"/>
            <w:shd w:val="clear" w:color="auto" w:fill="CCEEFF"/>
          </w:tcPr>
          <w:p>
            <w:pPr>
              <w:spacing w:after="0"/>
              <w:rPr>
                <w:sz w:val="15"/>
                <w:szCs w:val="15"/>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spacing w:after="0"/>
              <w:rPr>
                <w:sz w:val="19"/>
                <w:szCs w:val="19"/>
                <w:color w:val="auto"/>
              </w:rPr>
            </w:pPr>
          </w:p>
        </w:tc>
        <w:tc>
          <w:tcPr>
            <w:tcW w:w="1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451,224 common shares, at cost</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(127,674)</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Priority Technology Holdings, Inc. stockholders' deficit</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(126,343)</w:t>
            </w:r>
          </w:p>
        </w:tc>
        <w:tc>
          <w:tcPr>
            <w:tcW w:w="0" w:type="dxa"/>
            <w:vAlign w:val="bottom"/>
          </w:tcPr>
          <w:p>
            <w:pPr>
              <w:spacing w:after="0"/>
              <w:rPr>
                <w:sz w:val="1"/>
                <w:szCs w:val="1"/>
                <w:color w:val="auto"/>
              </w:rPr>
            </w:pP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 in subsidiary</w:t>
            </w:r>
          </w:p>
        </w:tc>
        <w:tc>
          <w:tcPr>
            <w:tcW w:w="16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0" w:type="dxa"/>
            <w:vAlign w:val="bottom"/>
          </w:tcPr>
          <w:p>
            <w:pPr>
              <w:spacing w:after="0"/>
              <w:rPr>
                <w:sz w:val="1"/>
                <w:szCs w:val="1"/>
                <w:color w:val="auto"/>
              </w:rPr>
            </w:pPr>
          </w:p>
        </w:tc>
      </w:tr>
      <w:tr>
        <w:trPr>
          <w:trHeight w:val="223"/>
        </w:trPr>
        <w:tc>
          <w:tcPr>
            <w:tcW w:w="722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(120,689)</w:t>
            </w:r>
          </w:p>
        </w:tc>
        <w:tc>
          <w:tcPr>
            <w:tcW w:w="0" w:type="dxa"/>
            <w:vAlign w:val="bottom"/>
          </w:tcPr>
          <w:p>
            <w:pPr>
              <w:spacing w:after="0"/>
              <w:rPr>
                <w:sz w:val="1"/>
                <w:szCs w:val="1"/>
                <w:color w:val="auto"/>
              </w:rPr>
            </w:pPr>
          </w:p>
        </w:tc>
      </w:tr>
      <w:tr>
        <w:trPr>
          <w:trHeight w:val="88"/>
        </w:trPr>
        <w:tc>
          <w:tcPr>
            <w:tcW w:w="7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72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464,505</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9280" w:type="dxa"/>
            <w:vAlign w:val="bottom"/>
            <w:gridSpan w:val="4"/>
          </w:tcPr>
          <w:p>
            <w:pPr>
              <w:ind w:left="308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tc>
        <w:tc>
          <w:tcPr>
            <w:tcW w:w="1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100" w:type="dxa"/>
            <w:vAlign w:val="bottom"/>
            <w:shd w:val="clear" w:color="auto" w:fill="CCEEFF"/>
          </w:tcPr>
          <w:p>
            <w:pPr>
              <w:spacing w:after="0"/>
              <w:rPr>
                <w:sz w:val="19"/>
                <w:szCs w:val="19"/>
                <w:color w:val="auto"/>
              </w:rPr>
            </w:pPr>
          </w:p>
        </w:tc>
        <w:tc>
          <w:tcPr>
            <w:tcW w:w="3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6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196"/>
        </w:trPr>
        <w:tc>
          <w:tcPr>
            <w:tcW w:w="5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108,962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298,251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273,671</w:t>
            </w:r>
          </w:p>
        </w:tc>
        <w:tc>
          <w:tcPr>
            <w:tcW w:w="0" w:type="dxa"/>
            <w:vAlign w:val="bottom"/>
          </w:tcPr>
          <w:p>
            <w:pPr>
              <w:spacing w:after="0"/>
              <w:rPr>
                <w:sz w:val="1"/>
                <w:szCs w:val="1"/>
                <w:color w:val="auto"/>
              </w:rPr>
            </w:pPr>
          </w:p>
        </w:tc>
      </w:tr>
      <w:tr>
        <w:trPr>
          <w:trHeight w:val="183"/>
        </w:trPr>
        <w:tc>
          <w:tcPr>
            <w:tcW w:w="5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Costs of services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185,827</w:t>
            </w: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Salary and employee benefits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31,923</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28,763</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21,031</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283,619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267,544</w:t>
            </w:r>
          </w:p>
        </w:tc>
        <w:tc>
          <w:tcPr>
            <w:tcW w:w="0" w:type="dxa"/>
            <w:vAlign w:val="bottom"/>
          </w:tcPr>
          <w:p>
            <w:pPr>
              <w:spacing w:after="0"/>
              <w:rPr>
                <w:sz w:val="1"/>
                <w:szCs w:val="1"/>
                <w:color w:val="auto"/>
              </w:rPr>
            </w:pPr>
          </w:p>
        </w:tc>
      </w:tr>
      <w:tr>
        <w:trPr>
          <w:trHeight w:val="88"/>
        </w:trPr>
        <w:tc>
          <w:tcPr>
            <w:tcW w:w="5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(30,602)</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extinguishment and modification costs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 (expenses), net</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92,435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(30,079)</w:t>
            </w:r>
          </w:p>
        </w:tc>
        <w:tc>
          <w:tcPr>
            <w:tcW w:w="0" w:type="dxa"/>
            <w:vAlign w:val="bottom"/>
          </w:tcPr>
          <w:p>
            <w:pPr>
              <w:spacing w:after="0"/>
              <w:rPr>
                <w:sz w:val="1"/>
                <w:szCs w:val="1"/>
                <w:color w:val="auto"/>
              </w:rPr>
            </w:pPr>
          </w:p>
        </w:tc>
      </w:tr>
      <w:tr>
        <w:trPr>
          <w:trHeight w:val="88"/>
        </w:trPr>
        <w:tc>
          <w:tcPr>
            <w:tcW w:w="5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(23,952)</w:t>
            </w:r>
          </w:p>
        </w:tc>
        <w:tc>
          <w:tcPr>
            <w:tcW w:w="0" w:type="dxa"/>
            <w:vAlign w:val="bottom"/>
          </w:tcPr>
          <w:p>
            <w:pPr>
              <w:spacing w:after="0"/>
              <w:rPr>
                <w:sz w:val="1"/>
                <w:szCs w:val="1"/>
                <w:color w:val="auto"/>
              </w:rPr>
            </w:pPr>
          </w:p>
        </w:tc>
      </w:tr>
      <w:tr>
        <w:trPr>
          <w:trHeight w:val="108"/>
        </w:trPr>
        <w:tc>
          <w:tcPr>
            <w:tcW w:w="5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0" w:type="dxa"/>
            <w:vAlign w:val="bottom"/>
          </w:tcPr>
          <w:p>
            <w:pPr>
              <w:spacing w:after="0"/>
              <w:rPr>
                <w:sz w:val="1"/>
                <w:szCs w:val="1"/>
                <w:color w:val="auto"/>
              </w:rPr>
            </w:pPr>
          </w:p>
        </w:tc>
      </w:tr>
      <w:tr>
        <w:trPr>
          <w:trHeight w:val="88"/>
        </w:trPr>
        <w:tc>
          <w:tcPr>
            <w:tcW w:w="5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(26,420)</w:t>
            </w:r>
          </w:p>
        </w:tc>
        <w:tc>
          <w:tcPr>
            <w:tcW w:w="0" w:type="dxa"/>
            <w:vAlign w:val="bottom"/>
          </w:tcPr>
          <w:p>
            <w:pPr>
              <w:spacing w:after="0"/>
              <w:rPr>
                <w:sz w:val="1"/>
                <w:szCs w:val="1"/>
                <w:color w:val="auto"/>
              </w:rPr>
            </w:pPr>
          </w:p>
        </w:tc>
      </w:tr>
      <w:tr>
        <w:trPr>
          <w:trHeight w:val="108"/>
        </w:trPr>
        <w:tc>
          <w:tcPr>
            <w:tcW w:w="5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53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redeemable non-controlling interests and</w:t>
            </w:r>
          </w:p>
        </w:tc>
        <w:tc>
          <w:tcPr>
            <w:tcW w:w="1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(45,348)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(45,348)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redeemed non-controlling interests</w:t>
            </w:r>
          </w:p>
        </w:tc>
        <w:tc>
          <w:tcPr>
            <w:tcW w:w="1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5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134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11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10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102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Net income (loss) attributable to stockholders of Priority Technology</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40,392</w:t>
            </w:r>
          </w:p>
        </w:tc>
        <w:tc>
          <w:tcPr>
            <w:tcW w:w="12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0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26,665</w:t>
            </w:r>
          </w:p>
        </w:tc>
        <w:tc>
          <w:tcPr>
            <w:tcW w:w="12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(26,420)</w:t>
            </w:r>
          </w:p>
        </w:tc>
        <w:tc>
          <w:tcPr>
            <w:tcW w:w="0" w:type="dxa"/>
            <w:vAlign w:val="bottom"/>
          </w:tcPr>
          <w:p>
            <w:pPr>
              <w:spacing w:after="0"/>
              <w:rPr>
                <w:sz w:val="1"/>
                <w:szCs w:val="1"/>
                <w:color w:val="auto"/>
              </w:rPr>
            </w:pPr>
          </w:p>
        </w:tc>
      </w:tr>
      <w:tr>
        <w:trPr>
          <w:trHeight w:val="207"/>
        </w:trPr>
        <w:tc>
          <w:tcPr>
            <w:tcW w:w="53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Holdings, Inc.</w:t>
            </w:r>
          </w:p>
        </w:tc>
        <w:tc>
          <w:tcPr>
            <w:tcW w:w="10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per common share:</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108"/>
        </w:trPr>
        <w:tc>
          <w:tcPr>
            <w:tcW w:w="5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and equivalents: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67,109</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shd w:val="clear" w:color="auto" w:fill="CCEEFF"/>
          </w:tcPr>
          <w:p>
            <w:pPr>
              <w:spacing w:after="0"/>
              <w:rPr>
                <w:sz w:val="19"/>
                <w:szCs w:val="19"/>
                <w:color w:val="auto"/>
              </w:rPr>
            </w:pPr>
          </w:p>
        </w:tc>
        <w:tc>
          <w:tcPr>
            <w:tcW w:w="3180" w:type="dxa"/>
            <w:vAlign w:val="bottom"/>
            <w:tcBorders>
              <w:bottom w:val="single" w:sz="8" w:color="auto"/>
            </w:tcBorders>
            <w:gridSpan w:val="4"/>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8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(26,420)</w:t>
            </w:r>
          </w:p>
        </w:tc>
      </w:tr>
      <w:tr>
        <w:trPr>
          <w:trHeight w:val="22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recognized on sale of business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Transaction costs upon sale of business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of assets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28,763</w:t>
            </w:r>
          </w:p>
        </w:tc>
      </w:tr>
      <w:tr>
        <w:trPr>
          <w:trHeight w:val="23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Equity-classified and liability-classified stock compensation</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r>
      <w:tr>
        <w:trPr>
          <w:trHeight w:val="229"/>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 and discounts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w:t>
            </w:r>
          </w:p>
        </w:tc>
      </w:tr>
      <w:tr>
        <w:trPr>
          <w:trHeight w:val="230"/>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allowance for deferred tax assets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7,844</w:t>
            </w:r>
          </w:p>
        </w:tc>
      </w:tr>
      <w:tr>
        <w:trPr>
          <w:trHeight w:val="22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Payment-in-kind interest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r>
      <w:tr>
        <w:trPr>
          <w:trHeight w:val="230"/>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Debt extinguishment and modification costs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charge for intangible asset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non-cash items,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operating assets and liabilities, excluding business sale: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29"/>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 assets and obligations,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w:t>
            </w:r>
          </w:p>
        </w:tc>
      </w:tr>
      <w:tr>
        <w:trPr>
          <w:trHeight w:val="230"/>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29"/>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receivable</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30"/>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w:t>
            </w:r>
          </w:p>
        </w:tc>
      </w:tr>
      <w:tr>
        <w:trPr>
          <w:trHeight w:val="230"/>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 and liabilities, net</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23"/>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10,617</w:t>
            </w:r>
          </w:p>
        </w:tc>
      </w:tr>
      <w:tr>
        <w:trPr>
          <w:trHeight w:val="88"/>
        </w:trPr>
        <w:tc>
          <w:tcPr>
            <w:tcW w:w="78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 of business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to property, equipment and software</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(8,662)</w:t>
            </w:r>
          </w:p>
        </w:tc>
      </w:tr>
      <w:tr>
        <w:trPr>
          <w:trHeight w:val="23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 of intangible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(81,777)</w:t>
            </w: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 receivable loan funding</w:t>
            </w: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investing activity</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3"/>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2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168,990</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(93,623)</w:t>
            </w:r>
          </w:p>
        </w:tc>
      </w:tr>
      <w:tr>
        <w:trPr>
          <w:trHeight w:val="88"/>
        </w:trPr>
        <w:tc>
          <w:tcPr>
            <w:tcW w:w="78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long-term debt, net of issue discount</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69,650</w:t>
            </w: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r>
      <w:tr>
        <w:trPr>
          <w:trHeight w:val="23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modification costs (paid) refunded</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3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under revolving credit facility</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Profit distributions to redeemable non-controlling interests of subsidiaries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of redeemable non-controlling interest of subsidiary</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r>
      <w:tr>
        <w:trPr>
          <w:trHeight w:val="223"/>
        </w:trPr>
        <w:tc>
          <w:tcPr>
            <w:tcW w:w="78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(163,761)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76,018</w:t>
            </w:r>
          </w:p>
        </w:tc>
      </w:tr>
      <w:tr>
        <w:trPr>
          <w:trHeight w:val="88"/>
        </w:trPr>
        <w:tc>
          <w:tcPr>
            <w:tcW w:w="7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restricted cash:</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and restricted cash</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w:t>
            </w:r>
          </w:p>
        </w:tc>
      </w:tr>
      <w:tr>
        <w:trPr>
          <w:trHeight w:val="22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33,831</w:t>
            </w:r>
          </w:p>
        </w:tc>
      </w:tr>
      <w:tr>
        <w:trPr>
          <w:trHeight w:val="223"/>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26,843</w:t>
            </w: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29"/>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26,828</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25,527</w:t>
            </w:r>
          </w:p>
        </w:tc>
      </w:tr>
      <w:tr>
        <w:trPr>
          <w:trHeight w:val="148"/>
        </w:trPr>
        <w:tc>
          <w:tcPr>
            <w:tcW w:w="75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230"/>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Payment-in-kind interest added to principal of debt obligations</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accrued contingent consideration for asset acquisition from offset of account receivable</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purchases of property, equipment and software</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acquired by issuing non-controlling interest in a subsidiary</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w:t>
            </w:r>
          </w:p>
        </w:tc>
      </w:tr>
      <w:tr>
        <w:trPr>
          <w:trHeight w:val="162"/>
        </w:trPr>
        <w:tc>
          <w:tcPr>
            <w:tcW w:w="75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29"/>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and restricted cash:</w:t>
            </w: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r>
      <w:tr>
        <w:trPr>
          <w:trHeight w:val="229"/>
        </w:trPr>
        <w:tc>
          <w:tcPr>
            <w:tcW w:w="7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22,652</w:t>
            </w:r>
          </w:p>
        </w:tc>
      </w:tr>
      <w:tr>
        <w:trPr>
          <w:trHeight w:val="248"/>
        </w:trPr>
        <w:tc>
          <w:tcPr>
            <w:tcW w:w="7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26,843</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 AND SIGNIFICANT ACCOUNTING POLICIES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Consolidation, and Presentation</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12529"/>
        </w:rPr>
        <w:t xml:space="preserve">Priority Technology Holdings, Inc. and its consolidated subsidiaries are referred to herein collectively as "Priority," "PRTH," the "Company," "we," "our" or "us," unless the context requires otherwise. </w:t>
      </w:r>
      <w:r>
        <w:rPr>
          <w:rFonts w:ascii="Times New Roman" w:cs="Times New Roman" w:eastAsia="Times New Roman" w:hAnsi="Times New Roman"/>
          <w:sz w:val="18"/>
          <w:szCs w:val="18"/>
          <w:color w:val="000000"/>
        </w:rPr>
        <w:t>Priority is a provider of merchant acquiring, integrated payment software and commercial payment solutions.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on a calendar year ending each December 31 and on four calendar quarters ending on March 31, June 30, September 30, and December 31 of each year. Results of operations reported for interim periods are not necessarily indicative of results for the entire year.</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the Company including those of its majority-owned subsidiaries, and all material intercompany balances and transactions have been eliminated in consolidation. These unaudited condensed consolidated financial statements have been prepared in accordance with accounting principles generally accepted in the United States ("GAAP") for interim financial information pursuant to the rules and regulations of the Securities and Exchange Commission ("SEC"). The consolidated balance sheet as of December 31, 2019 was derived from the audited financial statements included in the Company's Annual Report on Form 10-K for the year ended December 31, 2019 but does not include all disclosures required by GAAP for annual financial statements.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opinion of the Company's management, all known adjustments necessary for a fair presentation of the results of the interim periods have been made. These adjustments consist of normal recurring accruals and estimates that affect the carrying amount of assets and liabilities. These financial statements should be read in conjunction with the consolidated financial statements and notes thereto included in the Company's Annual Report on Form 10-K for the year ended December 31, 2019.</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preparation of financial statements in conformity with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reported period. Actual results could differ materially from those estimates. </w:t>
      </w:r>
      <w:r>
        <w:rPr>
          <w:rFonts w:ascii="Times New Roman" w:cs="Times New Roman" w:eastAsia="Times New Roman" w:hAnsi="Times New Roman"/>
          <w:sz w:val="18"/>
          <w:szCs w:val="18"/>
          <w:color w:val="212529"/>
        </w:rPr>
        <w:t>In particular, the magnitude, duration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effects of the COVID-19 pandemic are difficult to predict at this time, and the ultimate effect could result in future charges related to the recoverability of assets, including financial assets, long-lived assets, goodwill, and other losses.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Status as an Emerging Growth Company</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remains an "emerging growth company" ("EGC"), as defined in the Jumpstart Our Business Startups Act of 2012. The Company may remain an EGC until December 31, 2021. However, if the Company's non-convertible debt issued within a rolling three-year period exceeds $1.0 billion, the Company would cease to be an EGC immediately, or if its revenue for any fiscal year exceed $1.07 billion, or the market value of its common stock that is held by non-affiliates exceeds $700.0 million on the last day of the second quarter of any given year, the Company would cease to be an EGC as of the beginning of the following year. As an EGC, the Company may continue to elect to delay the adoption of any new or revised accounting standards that have different effective dates for public and private companies until those standards apply to private companies. Additionally, as a smaller reporting company ("SRC") as defined by the SEC, the Company has the option to adopt certain new or revised accounting standards on a permitted delayed basis that is not available to other public companies not meeting the definition of a SRC. Therefore, the Company's financial statements may not be comparable to other public companies that are not an EGC and/or SRC.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 (Loss)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and nine months ended September 30, 2020 and September 30, 2019, the Company had no activities to report as components of other comprehensive income (loss). Therefore, no separate Statement of Comprehensive Income (Loss) was prepared for any reporting period as the Company's net income (loss) from continuing operations comprises all of its comprehensive income (loss).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Comparability of Reporting Periods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prior period amounts in these unaudited condensed consolidated financial statements have been reclassified to conform to the current period presentation, with no net effect on income from operations, income (loss) before income taxes, net income (loss), stockholders' deficit, or cash flows from operations, investing, or financing activities for any period presented.</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adopted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for the 2019 annual reporting period included in its Annual Report on Form 10-K for the year ended December 31, 2019 using the full retrospective transition method. Accordingly, the unaudited condensed consolidated statement of operations for the three months and nine months ended September 30, 2019 presented herein has been recasted to retroactively reflect the provisions of ASC 606. The adoption of ASC 606 had no net effect on the Company's income from operations, income (loss) before income taxes, net income (loss), consolidated balance sheet, or cash flows from operations, investing, or financing activities.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and New Accounting Standards Adopted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Company's accounting policies as described in its most recent Annual Report on Form 10-K for the year ended December 31, 2019. The Company did not adopt any new accounting standards during the three months and nine months ended September 30, 2020, except for ASU 2018-13, as described below.</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Disclosures for Fair Value Measurements (ASU 2018-13)</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On January 1, 2020, the Company adopted Accounting Standards Update ("ASU") No. 2018-13, </w:t>
      </w:r>
      <w:r>
        <w:rPr>
          <w:rFonts w:ascii="Times New Roman" w:cs="Times New Roman" w:eastAsia="Times New Roman" w:hAnsi="Times New Roman"/>
          <w:sz w:val="18"/>
          <w:szCs w:val="18"/>
          <w:i w:val="1"/>
          <w:iCs w:val="1"/>
          <w:color w:val="auto"/>
        </w:rPr>
        <w:t>Fair Value Measurement (Topic 820):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 Changes to the Disclosure Requirements for Fair Value Measurement </w:t>
      </w:r>
      <w:r>
        <w:rPr>
          <w:rFonts w:ascii="Times New Roman" w:cs="Times New Roman" w:eastAsia="Times New Roman" w:hAnsi="Times New Roman"/>
          <w:sz w:val="18"/>
          <w:szCs w:val="18"/>
          <w:color w:val="auto"/>
        </w:rPr>
        <w:t>("ASU 2018-13"). ASU 2018-13 eliminated, added, and modified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certain disclosure requirements for fair value measurements as part of the Financial Accounting Standards Board's ("FASB") disclosure framework project. Certain amendments must be applied prospectively while others are applied on a retrospective basis to all periods presented. As disclosure guidance, the adoption of this ASU had no effect on the Company's financial position, results of operations or cash flows. Note 15,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reflects the disclosure provisions of ASU 2018-13.</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Not Yet Adopted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standards are pending adoption and will likely apply to the Company in future periods based on the Company's current business activities: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 Rate Reform (ASU 2020-04)</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On March 12,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This ASU provides temporary optional expedients and exceptions to the GAAP guidance on contract modifications and hedge accounting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ease the financial reporting burdens of the expected market transition from the London Interbank Offered Rate ("LIBOR") and other interbank offered rates to alternative reference rates, such as the Secured Overnight Financial Rate. Entities can elect not to apply certain modification accounting requirements to contracts affected by what the guidance calls reference rate reform, if certain criteria are met. An entity that makes this election would not have to remeasure the contact at the modification date or reassess a previous accounting determination. ASU</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2020-04 can be adopted at any time before December 31, 2022. The provisions of ASU 2020-04 may impact the Company if future debt modifications or refinancings utilize one or more of the reference rates covered by the provisions of this ASU.</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Leases (ASC 842)</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 xml:space="preserve">In February 2016, the FASB issued new lease accounting guidance in ASU No. 2016-02, </w:t>
      </w:r>
      <w:r>
        <w:rPr>
          <w:rFonts w:ascii="Times New Roman" w:cs="Times New Roman" w:eastAsia="Times New Roman" w:hAnsi="Times New Roman"/>
          <w:sz w:val="18"/>
          <w:szCs w:val="18"/>
          <w:i w:val="1"/>
          <w:iCs w:val="1"/>
          <w:color w:val="212529"/>
        </w:rPr>
        <w:t>Leases-Topic 842</w:t>
      </w:r>
      <w:r>
        <w:rPr>
          <w:rFonts w:ascii="Times New Roman" w:cs="Times New Roman" w:eastAsia="Times New Roman" w:hAnsi="Times New Roman"/>
          <w:sz w:val="18"/>
          <w:szCs w:val="18"/>
          <w:color w:val="212529"/>
        </w:rPr>
        <w:t xml:space="preserve">, which has been codified in ASC 842, </w:t>
      </w:r>
      <w:r>
        <w:rPr>
          <w:rFonts w:ascii="Times New Roman" w:cs="Times New Roman" w:eastAsia="Times New Roman" w:hAnsi="Times New Roman"/>
          <w:sz w:val="18"/>
          <w:szCs w:val="18"/>
          <w:i w:val="1"/>
          <w:iCs w:val="1"/>
          <w:color w:val="212529"/>
        </w:rPr>
        <w:t>Leases</w:t>
      </w:r>
      <w:r>
        <w:rPr>
          <w:rFonts w:ascii="Times New Roman" w:cs="Times New Roman" w:eastAsia="Times New Roman" w:hAnsi="Times New Roman"/>
          <w:sz w:val="18"/>
          <w:szCs w:val="18"/>
          <w:color w:val="212529"/>
        </w:rPr>
        <w:t>, and supplemented by subsequent ASUs ("ASC 842").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Based on the current expectation for the expiration of the Company's EGC status, the Company must adopt this standard no later than the beginning of 2022 for annual and interim reporting periods. The adoption of ASC 842 will require the Company to recognize non-current assets and liabilities for right-of-use assets and operating lease liabilities on its consolidated balance sheet. The Company is still evaluating the potential effects that the adoption of ASC 842 may have on its results of operations. ASC 842 will also require additional footnote disclosures to the Company's consolidated financial statements.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Credit Losses (ASU 2016-13)</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529"/>
        </w:rPr>
        <w:t xml:space="preserve">In June 2016, the FASB issued ASU No. 2016-13, </w:t>
      </w:r>
      <w:r>
        <w:rPr>
          <w:rFonts w:ascii="Times New Roman" w:cs="Times New Roman" w:eastAsia="Times New Roman" w:hAnsi="Times New Roman"/>
          <w:sz w:val="18"/>
          <w:szCs w:val="18"/>
          <w:i w:val="1"/>
          <w:iCs w:val="1"/>
          <w:color w:val="212529"/>
        </w:rPr>
        <w:t>Financial Instruments-Credit Losses (Topic 326): Measurement of Credit Losses on Financial</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212529"/>
        </w:rPr>
        <w:t>Instruments</w:t>
      </w:r>
      <w:r>
        <w:rPr>
          <w:rFonts w:ascii="Times New Roman" w:cs="Times New Roman" w:eastAsia="Times New Roman" w:hAnsi="Times New Roman"/>
          <w:sz w:val="18"/>
          <w:szCs w:val="18"/>
          <w:color w:val="212529"/>
        </w:rPr>
        <w:t>. This new guidance will change how entities account for credit impairment for trade and other receivables, as well as for certain financial</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 loss (or allowance) is recognized upon initial recognition of the asset that reflects all future events that leads to a loss being realized, regardless of whether it is probable that the future event will occur. The "incurred loss" model considers past events and current conditions, while the "expected loss" model includes expectations for the future which have yet to occur. The standard will require entities to record a cumulative-effect adjustment to the balance sheet as of the beginning of the first reporting period in which the guidance is effective. The Company is currently evaluating the potential impact that ASU 2016-13 may have on the timing of recognizing future provisions for expected losses on the Company's accounts receivable. Since the Company was a SRC on November 15, 2019, the Company must adopt this new standard no later than the beginning of 2023 for annual and interim reporting periods.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Goodwill Impairment Testing (ASU 2017-04)</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 xml:space="preserve">In January 2017, the FASB issued ASU No. 2017-04, </w:t>
      </w:r>
      <w:r>
        <w:rPr>
          <w:rFonts w:ascii="Times New Roman" w:cs="Times New Roman" w:eastAsia="Times New Roman" w:hAnsi="Times New Roman"/>
          <w:sz w:val="18"/>
          <w:szCs w:val="18"/>
          <w:i w:val="1"/>
          <w:iCs w:val="1"/>
          <w:color w:val="212529"/>
        </w:rPr>
        <w:t>Intangibles-Goodwill and Other (Topic 350): Simplifying the Test for Goodwill Impairment</w:t>
      </w:r>
      <w:r>
        <w:rPr>
          <w:rFonts w:ascii="Times New Roman" w:cs="Times New Roman" w:eastAsia="Times New Roman" w:hAnsi="Times New Roman"/>
          <w:sz w:val="18"/>
          <w:szCs w:val="18"/>
          <w:color w:val="212529"/>
        </w:rPr>
        <w:t>. ASU 2017-04 will eliminate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impacted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the ASU will be applied prospectively. Since the Company was a SRC on November 15, 2019, the Company must adopt this new standard no later than the beginning of 2023 for annual and interim reporting periods. The impact that ASU 2017-04 may have on the Company's financial condition or results of operations will depend on the circumstances of any goodwill impairment event that may occur after adoption.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Share-Based Payments to Non-Employees (ASU 2018-07)</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212529"/>
        </w:rPr>
        <w:t xml:space="preserve">In June 2018, the FASB issued ASU 2018-07, </w:t>
      </w:r>
      <w:r>
        <w:rPr>
          <w:rFonts w:ascii="Times New Roman" w:cs="Times New Roman" w:eastAsia="Times New Roman" w:hAnsi="Times New Roman"/>
          <w:sz w:val="18"/>
          <w:szCs w:val="18"/>
          <w:i w:val="1"/>
          <w:iCs w:val="1"/>
          <w:color w:val="212529"/>
        </w:rPr>
        <w:t>Share-based Payments to Non-Employees</w:t>
      </w:r>
      <w:r>
        <w:rPr>
          <w:rFonts w:ascii="Times New Roman" w:cs="Times New Roman" w:eastAsia="Times New Roman" w:hAnsi="Times New Roman"/>
          <w:sz w:val="18"/>
          <w:szCs w:val="18"/>
          <w:color w:val="212529"/>
        </w:rPr>
        <w:t>, to simplify the accounting for share-based payments to non-employees by aligning it with the accounting for share-based payments to employees, with certain exceptions. As an EGC, the ASU is effective for annual reporting periods beginning in 2020 and interim periods within annual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periods beginning first quarter 2021. The Company is evaluating the impact this ASU will have on its consolidated financial statements, and such impact will be dependent on any share-based payments issued to non-employees.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Share-Based Payments to Customers (ASU 2019-08)</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 xml:space="preserve">In November 2019, the FASB issued ASU 2019-08, </w:t>
      </w:r>
      <w:r>
        <w:rPr>
          <w:rFonts w:ascii="Times New Roman" w:cs="Times New Roman" w:eastAsia="Times New Roman" w:hAnsi="Times New Roman"/>
          <w:sz w:val="18"/>
          <w:szCs w:val="18"/>
          <w:i w:val="1"/>
          <w:iCs w:val="1"/>
          <w:color w:val="212529"/>
        </w:rPr>
        <w:t>Stock Compensation and Revenue from Contracts with Customers</w:t>
      </w:r>
      <w:r>
        <w:rPr>
          <w:rFonts w:ascii="Times New Roman" w:cs="Times New Roman" w:eastAsia="Times New Roman" w:hAnsi="Times New Roman"/>
          <w:sz w:val="18"/>
          <w:szCs w:val="18"/>
          <w:color w:val="212529"/>
        </w:rPr>
        <w:t xml:space="preserve"> ("ASU 2019-08"). ASU 2019-08 will apply to share-based payments granted in conjunction with the sale of goods and services to a customer that are not in exchange for a distinct good or service. Entities will apply ASC 718 to measure and classify share-based sales incentives, and reflect the measurement of such incentives, as a reduction of the transaction price and also recognize such incentives in accordance with the guidance in ASC 606 on consideration payable to a customer. Entities that receive distinct goods or services from a customer will account for the share-based payment in the same manner as they account for other purchases from suppliers (i.e., by applying the guidance in ASC 718). Any excess of the fair-value-based measure of the share-based payment award over the fair value of the distinct goods or services received will be reflected as a reduction to the transaction price and recognized in accordance with the guidance in ASC 606 on consideration payable to a customer. ASU 2019-08 is effective for the Company at the same time it adopts ASU 2018-07, which is annual reporting periods beginning in 2020 and interim periods within annual periods beginning first quarter 2021. The Company is evaluating the impact this ASU will have on its consolidated financial statements, and such impact will be dependent on any share-based payments issued to customers.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Implementation Costs Incurred in Cloud Computing Arrangements (ASU 2018-15)</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212529"/>
        </w:rPr>
        <w:t xml:space="preserve">In August 2018, the FASB issued ASU 2018-15, </w:t>
      </w:r>
      <w:r>
        <w:rPr>
          <w:rFonts w:ascii="Times New Roman" w:cs="Times New Roman" w:eastAsia="Times New Roman" w:hAnsi="Times New Roman"/>
          <w:sz w:val="18"/>
          <w:szCs w:val="18"/>
          <w:i w:val="1"/>
          <w:iCs w:val="1"/>
          <w:color w:val="212529"/>
        </w:rPr>
        <w:t>Implementation Costs Incurred in Cloud Computing Arrangements</w:t>
      </w:r>
      <w:r>
        <w:rPr>
          <w:rFonts w:ascii="Times New Roman" w:cs="Times New Roman" w:eastAsia="Times New Roman" w:hAnsi="Times New Roman"/>
          <w:sz w:val="18"/>
          <w:szCs w:val="18"/>
          <w:color w:val="212529"/>
        </w:rPr>
        <w:t xml:space="preserve">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As an EGC, this ASU is effective for the Company for annual reporting periods beginning in 2021, and interim periods within annual periods beginning in 2022. The amendments should be applied either retrospectively or prospectively to all implementation costs incurred after the date of adoption. The Company is evaluating the impact this ASU will have on its consolidated financial statements.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Simplifying the Accounting for Income Taxes (ASU 2019-12)</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212529"/>
        </w:rPr>
        <w:t xml:space="preserve">In December 2019, the FASB issued ASU 2019-12, </w:t>
      </w:r>
      <w:r>
        <w:rPr>
          <w:rFonts w:ascii="Times New Roman" w:cs="Times New Roman" w:eastAsia="Times New Roman" w:hAnsi="Times New Roman"/>
          <w:sz w:val="18"/>
          <w:szCs w:val="18"/>
          <w:i w:val="1"/>
          <w:iCs w:val="1"/>
          <w:color w:val="212529"/>
        </w:rPr>
        <w:t>Simplifying the Accounting for Income Taxes</w:t>
      </w:r>
      <w:r>
        <w:rPr>
          <w:rFonts w:ascii="Times New Roman" w:cs="Times New Roman" w:eastAsia="Times New Roman" w:hAnsi="Times New Roman"/>
          <w:sz w:val="18"/>
          <w:szCs w:val="18"/>
          <w:color w:val="212529"/>
        </w:rPr>
        <w:t xml:space="preserve"> ("ASU 2019-12"). ASU 2019-12 will affect several topics of income tax accounting, including: tax-basis step-up in goodwill obtained in a transaction that is not a business combination; intra-period tax allocation; ownership changes in investments when an equity method investment becomes a subsidiary of an entity; interim-period accounting for enacted changes in tax law; and year-to-date loss limitation in interim-period tax accounting. This ASU is effective for the Company on January 1, 2022. The effects that the adoption of this ASU will have on the Company's results of operations, financial position, and cash flows will depend on specific events occurring for the Company after the adoption of ASU 2019-12.</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SALE OF BUSINESS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 2020, Priority Real Estate Technology LLC ("PRET"), a majority-owned and consolidated subsidiary of the Company, entered into an asset purchase agreement (the "Agreement") with MRI Payments LLC and MRI Software LLC (together, "MRI" or the buyer) to sell certain assets from PRET's real estate services business. The buyer also agreed to assume certain obligations associated with the assets. The transaction contemplated by the Agreement was completed on September 22, 2020 after receiving regulatory approval. Prior to execution of the Agreement, the buyer was not a related party of PRET or the Company.</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assets covered by the Agreement were substantially the same assets that PRET acquired in March 2019 from YapStone, Inc. and these assets constituted PRET's RentPayment component, which was part of the Integrated Partners reporting unit,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operating segment and reportable segment. These assets consist of contracts with customers, an assembled workforce, technology-related assets, Internet domains, trade names and trademarks. The buyer also assumed obligations under an in-place and off-balance-sheet operating lease for office space. Since PRET's acquisition of these assets from YapStone, Inc. in March 2019, PRET and the Company have made operational changes that resulted in these assets becoming a business as defined by the provisions of ASU 2017-01, </w:t>
      </w:r>
      <w:r>
        <w:rPr>
          <w:rFonts w:ascii="Times New Roman" w:cs="Times New Roman" w:eastAsia="Times New Roman" w:hAnsi="Times New Roman"/>
          <w:sz w:val="18"/>
          <w:szCs w:val="18"/>
          <w:i w:val="1"/>
          <w:iCs w:val="1"/>
          <w:color w:val="auto"/>
        </w:rPr>
        <w:t>Clarifying the Definition of a Business,</w:t>
      </w:r>
      <w:r>
        <w:rPr>
          <w:rFonts w:ascii="Times New Roman" w:cs="Times New Roman" w:eastAsia="Times New Roman" w:hAnsi="Times New Roman"/>
          <w:sz w:val="18"/>
          <w:szCs w:val="18"/>
          <w:color w:val="auto"/>
        </w:rPr>
        <w:t xml:space="preserve"> before their sale to MRI</w:t>
      </w:r>
      <w:r>
        <w:rPr>
          <w:rFonts w:ascii="Times New Roman" w:cs="Times New Roman" w:eastAsia="Times New Roman" w:hAnsi="Times New Roman"/>
          <w:sz w:val="18"/>
          <w:szCs w:val="18"/>
          <w:i w:val="1"/>
          <w:iCs w:val="1"/>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received by PRET were $179.4 million, net of $584,000 for a working capital adjustment. The gain amounted to $107.2 million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6"/>
        </w:trPr>
        <w:tc>
          <w:tcPr>
            <w:tcW w:w="9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cash consideration from buyer</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r>
      <w:tr>
        <w:trPr>
          <w:trHeight w:val="229"/>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working capital adjustment paid in cash</w:t>
            </w: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23"/>
        </w:trPr>
        <w:tc>
          <w:tcPr>
            <w:tcW w:w="9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proceeds from buyer</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179,416</w:t>
            </w:r>
          </w:p>
        </w:tc>
      </w:tr>
      <w:tr>
        <w:trPr>
          <w:trHeight w:val="148"/>
        </w:trPr>
        <w:tc>
          <w:tcPr>
            <w:tcW w:w="9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costs incurred</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w:t>
            </w: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sold:</w:t>
            </w: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9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(62,158)</w:t>
            </w:r>
          </w:p>
        </w:tc>
      </w:tr>
      <w:tr>
        <w:trPr>
          <w:trHeight w:val="229"/>
        </w:trPr>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 sold, net of obligations assumed</w:t>
            </w: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assigned to business sale</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r>
      <w:tr>
        <w:trPr>
          <w:trHeight w:val="229"/>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48"/>
        </w:trPr>
        <w:tc>
          <w:tcPr>
            <w:tcW w:w="9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Pre-tax gain on sale of business</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107,239</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PRET is a limited liability company and is a pass-through entity for income tax purposes. Income tax expenses associated with the gain attributable to the stockholders of the Company were estimated to be approximately $12.4 million.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Allocation of net proceeds, after transaction costs, to the PRET members included return of each member's invested capital in PRET and excess proceeds were distributed in accordance with the distribution provisions of the PRET LLC governing agreement. The Company's invested capital amounted to $71.8 million, which included the assets sold, goodwill and other intangible assets. The non-controlling interest's invested capital was $5.7 million. Approximately $51.4 million and $45.1 million of the excess proceeds were distributed to the Company and the non-controlling interests, respectively.</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As disclosed in Note 9, </w:t>
      </w:r>
      <w:r>
        <w:rPr>
          <w:rFonts w:ascii="Times New Roman" w:cs="Times New Roman" w:eastAsia="Times New Roman" w:hAnsi="Times New Roman"/>
          <w:sz w:val="18"/>
          <w:szCs w:val="18"/>
          <w:i w:val="1"/>
          <w:iCs w:val="1"/>
          <w:color w:val="auto"/>
        </w:rPr>
        <w:t>Debt Obligations</w:t>
      </w:r>
      <w:r>
        <w:rPr>
          <w:rFonts w:ascii="Times New Roman" w:cs="Times New Roman" w:eastAsia="Times New Roman" w:hAnsi="Times New Roman"/>
          <w:sz w:val="18"/>
          <w:szCs w:val="18"/>
          <w:color w:val="auto"/>
        </w:rPr>
        <w:t>, $106.5 million of cash received by the Company was used on September 25, 2020 to reduce the outstanding balance of the term loan facility under the Company's Senior Credit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Obligation</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buyer assumed an in-place operating lease in Dallas, Texas which expires on November 1, 2024. The Company has not adopted ASC 842; therefore this lease obligation was not reflected in the Company's balance sheet prior to the assumption by the buyer. The Company has been relieved of minimum lease payment obligations totaling $467,000 for the remainder of the current lease term.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Continuing Operations</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Based on historical financial results, the Company does not believe the sale of the RentPayment component represents a strategic shift. Therefore, in accordance with ASC 205-20, </w:t>
      </w:r>
      <w:r>
        <w:rPr>
          <w:rFonts w:ascii="Times New Roman" w:cs="Times New Roman" w:eastAsia="Times New Roman" w:hAnsi="Times New Roman"/>
          <w:sz w:val="18"/>
          <w:szCs w:val="18"/>
          <w:i w:val="1"/>
          <w:iCs w:val="1"/>
          <w:color w:val="auto"/>
        </w:rPr>
        <w:t>Presentation of Financial Statements - Discontinued Operations</w:t>
      </w:r>
      <w:r>
        <w:rPr>
          <w:rFonts w:ascii="Times New Roman" w:cs="Times New Roman" w:eastAsia="Times New Roman" w:hAnsi="Times New Roman"/>
          <w:sz w:val="18"/>
          <w:szCs w:val="18"/>
          <w:color w:val="auto"/>
        </w:rPr>
        <w:t>, the Company will not classify or report the business that was sold as discontinued operations in its consolidated financial statements for any reporting period. The Company will continue to serve the rental property market through its ongoing PRET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Information</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pro forma information is provided for the business (the RentPayment component) that was sold under the Agreement, excluding the gain recognized on the sale transaction:</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 w:lineRule="exact"/>
        <w:rPr>
          <w:sz w:val="20"/>
          <w:szCs w:val="20"/>
          <w:color w:val="auto"/>
        </w:rPr>
      </w:pPr>
    </w:p>
    <w:p>
      <w:pPr>
        <w:ind w:left="4800"/>
        <w:spacing w:after="0"/>
        <w:tabs>
          <w:tab w:leader="none" w:pos="6480" w:val="left"/>
        </w:tabs>
        <w:rPr>
          <w:sz w:val="20"/>
          <w:szCs w:val="20"/>
          <w:color w:val="auto"/>
        </w:rPr>
      </w:pPr>
      <w:r>
        <w:rPr>
          <w:rFonts w:ascii="Times New Roman" w:cs="Times New Roman" w:eastAsia="Times New Roman" w:hAnsi="Times New Roman"/>
          <w:sz w:val="18"/>
          <w:szCs w:val="18"/>
          <w:color w:val="auto"/>
        </w:rPr>
        <w:t>2020</w:t>
      </w:r>
      <w:r>
        <w:rPr>
          <w:sz w:val="20"/>
          <w:szCs w:val="20"/>
          <w:color w:val="auto"/>
        </w:rPr>
        <w:tab/>
      </w:r>
      <w:r>
        <w:rPr>
          <w:rFonts w:ascii="Times New Roman" w:cs="Times New Roman" w:eastAsia="Times New Roman" w:hAnsi="Times New Roman"/>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17145</wp:posOffset>
            </wp:positionV>
            <wp:extent cx="21602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Nine Months Ended September 30,</w:t>
      </w:r>
    </w:p>
    <w:p>
      <w:pPr>
        <w:spacing w:after="0" w:line="43" w:lineRule="exact"/>
        <w:rPr>
          <w:sz w:val="20"/>
          <w:szCs w:val="20"/>
          <w:color w:val="auto"/>
        </w:rPr>
      </w:pPr>
    </w:p>
    <w:p>
      <w:pPr>
        <w:ind w:left="200"/>
        <w:spacing w:after="0"/>
        <w:tabs>
          <w:tab w:leader="none" w:pos="1940" w:val="left"/>
        </w:tabs>
        <w:rPr>
          <w:sz w:val="20"/>
          <w:szCs w:val="20"/>
          <w:color w:val="auto"/>
        </w:rPr>
      </w:pPr>
      <w:r>
        <w:rPr>
          <w:rFonts w:ascii="Times New Roman" w:cs="Times New Roman" w:eastAsia="Times New Roman" w:hAnsi="Times New Roman"/>
          <w:sz w:val="18"/>
          <w:szCs w:val="18"/>
          <w:color w:val="auto"/>
        </w:rPr>
        <w:t>2020</w:t>
      </w:r>
      <w:r>
        <w:rPr>
          <w:sz w:val="20"/>
          <w:szCs w:val="20"/>
          <w:color w:val="auto"/>
        </w:rPr>
        <w:tab/>
      </w:r>
      <w:r>
        <w:rPr>
          <w:rFonts w:ascii="Times New Roman" w:cs="Times New Roman" w:eastAsia="Times New Roman" w:hAnsi="Times New Roman"/>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17145</wp:posOffset>
            </wp:positionV>
            <wp:extent cx="22371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00" w:space="720"/>
            <w:col w:w="3020"/>
          </w:cols>
          <w:pgMar w:left="320" w:top="121" w:right="3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3,652</w:t>
            </w:r>
          </w:p>
        </w:tc>
        <w:tc>
          <w:tcPr>
            <w:tcW w:w="7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Income from operations </w:t>
            </w:r>
            <w:r>
              <w:rPr>
                <w:rFonts w:ascii="Times New Roman" w:cs="Times New Roman" w:eastAsia="Times New Roman" w:hAnsi="Times New Roman"/>
                <w:sz w:val="18"/>
                <w:szCs w:val="18"/>
                <w:i w:val="1"/>
                <w:iCs w:val="1"/>
                <w:color w:val="auto"/>
              </w:rPr>
              <w:t>(1)</w:t>
            </w:r>
          </w:p>
        </w:tc>
        <w:tc>
          <w:tcPr>
            <w:tcW w:w="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1,117</w:t>
            </w:r>
          </w:p>
        </w:tc>
        <w:tc>
          <w:tcPr>
            <w:tcW w:w="7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18"/>
                <w:szCs w:val="18"/>
                <w:i w:val="1"/>
                <w:iCs w:val="1"/>
                <w:color w:val="auto"/>
              </w:rPr>
              <w:t>(2) (3)</w:t>
            </w:r>
          </w:p>
        </w:tc>
        <w:tc>
          <w:tcPr>
            <w:tcW w:w="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861</w:t>
            </w:r>
          </w:p>
        </w:tc>
        <w:tc>
          <w:tcPr>
            <w:tcW w:w="7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175"/>
        </w:trPr>
        <w:tc>
          <w:tcPr>
            <w:tcW w:w="4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attributable to the stockholders of Priority</w:t>
            </w:r>
          </w:p>
        </w:tc>
        <w:tc>
          <w:tcPr>
            <w:tcW w:w="7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76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861</w:t>
            </w:r>
          </w:p>
        </w:tc>
        <w:tc>
          <w:tcPr>
            <w:tcW w:w="7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74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Technology Holdings, Inc. </w:t>
            </w:r>
            <w:r>
              <w:rPr>
                <w:rFonts w:ascii="Times New Roman" w:cs="Times New Roman" w:eastAsia="Times New Roman" w:hAnsi="Times New Roman"/>
                <w:sz w:val="18"/>
                <w:szCs w:val="18"/>
                <w:i w:val="1"/>
                <w:iCs w:val="1"/>
                <w:color w:val="auto"/>
              </w:rPr>
              <w:t>(4)</w:t>
            </w:r>
          </w:p>
        </w:tc>
        <w:tc>
          <w:tcPr>
            <w:tcW w:w="72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40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4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per common share for stockholders of Priority</w:t>
            </w:r>
          </w:p>
        </w:tc>
        <w:tc>
          <w:tcPr>
            <w:tcW w:w="7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7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74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Technology Holdings, Inc. - Basic and Diluted </w:t>
            </w:r>
            <w:r>
              <w:rPr>
                <w:rFonts w:ascii="Times New Roman" w:cs="Times New Roman" w:eastAsia="Times New Roman" w:hAnsi="Times New Roman"/>
                <w:sz w:val="18"/>
                <w:szCs w:val="18"/>
                <w:i w:val="1"/>
                <w:iCs w:val="1"/>
                <w:color w:val="auto"/>
              </w:rPr>
              <w:t>(4)</w:t>
            </w:r>
          </w:p>
        </w:tc>
        <w:tc>
          <w:tcPr>
            <w:tcW w:w="7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Historical financial results are not being reported as discontinued operations.</w:t>
      </w:r>
    </w:p>
    <w:p>
      <w:pPr>
        <w:spacing w:after="0" w:line="2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Does not reflect interest expense on the borrowings used to acquire the YapStone assets in March 2019.</w:t>
      </w:r>
    </w:p>
    <w:p>
      <w:pPr>
        <w:spacing w:after="0" w:line="9" w:lineRule="exact"/>
        <w:rPr>
          <w:rFonts w:ascii="Times New Roman" w:cs="Times New Roman" w:eastAsia="Times New Roman" w:hAnsi="Times New Roman"/>
          <w:sz w:val="18"/>
          <w:szCs w:val="18"/>
          <w:i w:val="1"/>
          <w:iCs w:val="1"/>
          <w:color w:val="auto"/>
        </w:rPr>
      </w:pPr>
    </w:p>
    <w:p>
      <w:pPr>
        <w:jc w:val="both"/>
        <w:ind w:firstLine="8"/>
        <w:spacing w:after="0" w:line="250" w:lineRule="auto"/>
        <w:tabs>
          <w:tab w:leader="none" w:pos="2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 forma income tax expense based on the following consolidated effective tax (benefit) rates of Priority Technology Holdings, Inc.: 15.5% for third quarter 2020; 22.9% for third quarter 2019; 2.2% for the nine months ended September 30, 2020, and (10.3)% for the nine months ended September 30, 2019. These rates exclude the effect of the $107.2 million gain on the sale recognized during the quarter and nine months ended September 30, 2020.</w:t>
      </w:r>
    </w:p>
    <w:p>
      <w:pPr>
        <w:spacing w:after="0" w:line="1" w:lineRule="exact"/>
        <w:rPr>
          <w:rFonts w:ascii="Times New Roman" w:cs="Times New Roman" w:eastAsia="Times New Roman" w:hAnsi="Times New Roman"/>
          <w:sz w:val="18"/>
          <w:szCs w:val="18"/>
          <w:i w:val="1"/>
          <w:iCs w:val="1"/>
          <w:color w:val="auto"/>
        </w:rPr>
      </w:pPr>
    </w:p>
    <w:p>
      <w:pPr>
        <w:ind w:firstLine="8"/>
        <w:spacing w:after="0" w:line="260" w:lineRule="auto"/>
        <w:tabs>
          <w:tab w:leader="none" w:pos="2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Prior to the September 2020 sale transaction that resulted in the gain on the sale, no earnings or losses of the PRET LLC were attributable to the NCIs of PRET.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REVENUES</w:t>
      </w:r>
    </w:p>
    <w:p>
      <w:pPr>
        <w:spacing w:after="0" w:line="200" w:lineRule="exact"/>
        <w:rPr>
          <w:sz w:val="20"/>
          <w:szCs w:val="20"/>
          <w:color w:val="auto"/>
        </w:rPr>
      </w:pPr>
    </w:p>
    <w:p>
      <w:pPr>
        <w:spacing w:after="0" w:line="2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all periods presented, substantially all of the Company’s revenues from services were recognized over time. Revenues and commissions earned from the sales of payment equipment were typically recognized at a point in time.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 disaggregation of the Company's consolidated revenues by type, and the relationships to the Company's reportable segments, for the three months and nine months ended September 30, 2020 and September 30, 2019:</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shd w:val="clear" w:color="auto" w:fill="CCEEFF"/>
          </w:tcPr>
          <w:p>
            <w:pPr>
              <w:spacing w:after="0"/>
              <w:rPr>
                <w:sz w:val="19"/>
                <w:szCs w:val="19"/>
                <w:color w:val="auto"/>
              </w:rPr>
            </w:pPr>
          </w:p>
        </w:tc>
        <w:tc>
          <w:tcPr>
            <w:tcW w:w="3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shd w:val="clear" w:color="auto" w:fill="CCEEFF"/>
          </w:tcPr>
          <w:p>
            <w:pPr>
              <w:spacing w:after="0"/>
              <w:rPr>
                <w:sz w:val="19"/>
                <w:szCs w:val="19"/>
                <w:color w:val="auto"/>
              </w:rPr>
            </w:pPr>
          </w:p>
        </w:tc>
        <w:tc>
          <w:tcPr>
            <w:tcW w:w="28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196"/>
        </w:trPr>
        <w:tc>
          <w:tcPr>
            <w:tcW w:w="5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Type</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3"/>
        </w:trPr>
        <w:tc>
          <w:tcPr>
            <w:tcW w:w="5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Merchant card fees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102,481</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277,253</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249,267</w:t>
            </w:r>
          </w:p>
        </w:tc>
      </w:tr>
      <w:tr>
        <w:trPr>
          <w:trHeight w:val="22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Outsourced services and other services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18,143</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w:t>
            </w:r>
          </w:p>
        </w:tc>
      </w:tr>
      <w:tr>
        <w:trPr>
          <w:trHeight w:val="230"/>
        </w:trPr>
        <w:tc>
          <w:tcPr>
            <w:tcW w:w="5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Equipment</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w:t>
            </w: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108,962</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298,251</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273,671</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earned in these disaggregated categories consist of following:</w:t>
      </w:r>
    </w:p>
    <w:p>
      <w:pPr>
        <w:spacing w:after="0" w:line="252"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Merchant card fees - revenues related to discount rates and interchange fees earned from payment services provided by the Company's Consumer Payments, Commercial Payments, and Integrated Partners segments.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Outsourced services and other services - business process outsourcing services provided by our Commercial Payments segment primarily to certain business customers of American Express, auxiliary services provided primarily to customers in the Company's Integrated Partners segment, and revenue from automated clearing house ("ACH") services.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 revenues from sales of point-of-sale equipment and other payment-processing equipment sold to customers in the Company's Consumer Payments segment.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Transaction Price Allocated to Future Performance Obligations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ASC 606 requires disclosure of the aggregate amount of the transaction price allocated to unsatisfied performance obligations. However, as allowed by ASC 606, the Company has elected to exclude from this disclosure any contracts with an original duration of one year or less and any variable consideration that meets specified criteria. The Company’s most significant performance obligations consist of variable consideration under a stand-ready series of distinct days of service. Such variable consideration meets the specified criteria for the disclosure exclusion. Therefore, the majority of the aggregate amount of transaction price that is allocated to performance obligations that have not yet been satisfied is variable consideration that is not required for this disclosure. The aggregate fixed consideration portion of customer contracts with an initial contract duration greater than one year is not material.</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Contract Costs</w:t>
      </w:r>
    </w:p>
    <w:p>
      <w:pPr>
        <w:spacing w:after="0" w:line="2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212529"/>
        </w:rPr>
        <w:t>For new, renewed, or anticipated contracts with customers, the Company does not incur material amounts of incremental costs to obtain such contracts, as those costs are defined by ASC 340-40.</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212529"/>
        </w:rPr>
        <w:t>Fulfillment costs, as defined by ASC 340-40, typically benefit only the period (typically a month in duration) in which they are incurred and therefore are expensed in the period incurred (i.e., not capitalized) unless they meet criteria to be capitalized under other accounting guidance.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The Company pays commissions to most of its independent sales organizations ("ISOs"), and for certain ISOs the Company also pays (through a higher commission rate) them to provide customer service and other services directly to our merchant customers. The ISO is typically an independent contractor or agent of the Company. Although certain ISOs may have merchant portability rights, the merchant meets the definition of a customer for the Company even if the ISO has merchant portability rights. Since payments to ISOs are dependent substantially on variable merchant payment volumes generated after the merchant enters into a new or renewed contract, these payments to ISOs are not deemed to be a cost to acquire a new contract since the ISO payments are based on factors that will arise subsequent to the event of obtaining a new or renewed contract. Also, payments to ISOs pertain only to a specific month’s activity. For payments made, or due, to an ISO, the expenses are reported within income from operations on our statements of operations.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The Company from time-to-time may elect to buy out all or a portion of an ISO’s rights to receive future commission payments related to certain merchants. Amounts paid to the ISO for these residual buyouts are capitalized by the Company under the accounting guidance for intangible assets.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contract with a customer creates legal rights and obligations. As the Company performs under customer contracts, its right to consideration that is unconditional is considered to be accounts receivable. If the Company’s right to consideration for such performance is contingent upon a future event or satisfaction of additional performance obligations, the amount of revenues recognized in excess of the amount billed to the customer is recognized as a contract asset. Contract liabilities represent consideration received from customers in excess of revenues recognized. Material contract assets and liabilities are presented net at the individual contract level in the consolidated balance sheet and are classified as current or noncurrent based on the nature of the underlying contractual rights and obligations.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contracts from customers as of September 30, 2020 and December 31, 2019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Consolidated Balance Sheet Location</w:t>
            </w:r>
          </w:p>
        </w:tc>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128"/>
        </w:trPr>
        <w:tc>
          <w:tcPr>
            <w:tcW w:w="3360" w:type="dxa"/>
            <w:vAlign w:val="bottom"/>
          </w:tcPr>
          <w:p>
            <w:pPr>
              <w:spacing w:after="0"/>
              <w:rPr>
                <w:sz w:val="11"/>
                <w:szCs w:val="11"/>
                <w:color w:val="auto"/>
              </w:rPr>
            </w:pPr>
          </w:p>
        </w:tc>
        <w:tc>
          <w:tcPr>
            <w:tcW w:w="3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Borders>
              <w:top w:val="single" w:sz="8" w:color="auto"/>
            </w:tcBorders>
          </w:tcPr>
          <w:p>
            <w:pPr>
              <w:spacing w:after="0"/>
              <w:rPr>
                <w:sz w:val="11"/>
                <w:szCs w:val="1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3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net (current)</w:t>
            </w: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1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$1,634</w:t>
            </w:r>
          </w:p>
        </w:tc>
        <w:tc>
          <w:tcPr>
            <w:tcW w:w="120" w:type="dxa"/>
            <w:vAlign w:val="bottom"/>
          </w:tcPr>
          <w:p>
            <w:pPr>
              <w:spacing w:after="0"/>
              <w:rPr>
                <w:sz w:val="20"/>
                <w:szCs w:val="20"/>
                <w:color w:val="auto"/>
              </w:rPr>
            </w:pPr>
          </w:p>
        </w:tc>
        <w:tc>
          <w:tcPr>
            <w:tcW w:w="19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$1,912</w:t>
            </w:r>
          </w:p>
        </w:tc>
      </w:tr>
    </w:tbl>
    <w:p>
      <w:pPr>
        <w:spacing w:after="0" w:line="200" w:lineRule="exact"/>
        <w:rPr>
          <w:sz w:val="20"/>
          <w:szCs w:val="20"/>
          <w:color w:val="auto"/>
        </w:rPr>
      </w:pPr>
    </w:p>
    <w:p>
      <w:pPr>
        <w:spacing w:after="0" w:line="2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The balance for the contract liabilities was $1,315,000, $1,738,000, and $1,776,000 at September 30, June 30, and January 1, 2019, respectively. The changes in the balances during the three months and nine months ended September 30, 2020 and September 30, 2019 were due to the timing of advance payments received from the customer. Substantially all of these balances are recognized as revenue within twelve months.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Net contract assets were not material for any period presented.</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Impairment losses recognized on receivables or contract assets arising from the Company's contracts with customers were not material for the three months and nine months ended September 30, 2020 and September 30, 2019.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NON-CONTROLLING INTERESTS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Note 13, </w:t>
      </w:r>
      <w:r>
        <w:rPr>
          <w:rFonts w:ascii="Times New Roman" w:cs="Times New Roman" w:eastAsia="Times New Roman" w:hAnsi="Times New Roman"/>
          <w:sz w:val="18"/>
          <w:szCs w:val="18"/>
          <w:i w:val="1"/>
          <w:iCs w:val="1"/>
          <w:color w:val="auto"/>
        </w:rPr>
        <w:t>Reconciliation of Stockholders' Deficit and Non-Controlling Interests</w:t>
      </w:r>
      <w:r>
        <w:rPr>
          <w:rFonts w:ascii="Times New Roman" w:cs="Times New Roman" w:eastAsia="Times New Roman" w:hAnsi="Times New Roman"/>
          <w:sz w:val="18"/>
          <w:szCs w:val="18"/>
          <w:color w:val="auto"/>
        </w:rPr>
        <w:t>, for additional information on transactions with non-controlling interests during the three months and nine months ended September 30, 2020.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YapStone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In March 2019, the Company, through one of its subsidiaries, PRET, acquired certain assets and assumed certain related liabilities (the "YapStone net assets") from YapStone, Inc. ("YapStone") under an asset purchase and contribution agreement. The purchase price for the YapStone net assets was $65.0 million in cash plus a non-controlling interest ("NCI") in PRET. The fair value of the NCI was estimated to be approximately $5.7 million. The total purchase price was assigned to customer relationships, except for $1.0 million and $1.2 million which were assigned to a software license agreement and a services agreement, respectively. The $65.0 million of cash was funded from a drawdown of the Senior Credit Facility on a delayed basis as provided for and pursuant to the third amendment thereto executed in December 2018.</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 xml:space="preserve">During the three months and nine months ended September 30, 2020 and September 30, 2019, no earnings from the operations of PRET were attributable to the NCIs pursuant to the PRET operating agreement. However, as disclosed in Note 2, </w:t>
      </w:r>
      <w:r>
        <w:rPr>
          <w:rFonts w:ascii="Times New Roman" w:cs="Times New Roman" w:eastAsia="Times New Roman" w:hAnsi="Times New Roman"/>
          <w:sz w:val="18"/>
          <w:szCs w:val="18"/>
          <w:i w:val="1"/>
          <w:iCs w:val="1"/>
          <w:color w:val="212529"/>
        </w:rPr>
        <w:t>Sale of Business</w:t>
      </w:r>
      <w:r>
        <w:rPr>
          <w:rFonts w:ascii="Times New Roman" w:cs="Times New Roman" w:eastAsia="Times New Roman" w:hAnsi="Times New Roman"/>
          <w:sz w:val="18"/>
          <w:szCs w:val="18"/>
          <w:color w:val="212529"/>
        </w:rPr>
        <w:t xml:space="preserve">, during third quarter 2020, PRET sold assets to a third party that substantially represented the YapStone net assets acquired in March 2019. Based on the PRET operating agreement, the NCIs were attributed with </w:t>
      </w:r>
      <w:r>
        <w:rPr>
          <w:rFonts w:ascii="Times New Roman" w:cs="Times New Roman" w:eastAsia="Times New Roman" w:hAnsi="Times New Roman"/>
          <w:sz w:val="18"/>
          <w:szCs w:val="18"/>
          <w:color w:val="000000"/>
        </w:rPr>
        <w:t>$45.1 million of the gain recognized by PRET for the sale transaction in September 2020. This $45.1 million, along with the</w:t>
      </w:r>
      <w:r>
        <w:rPr>
          <w:rFonts w:ascii="Times New Roman" w:cs="Times New Roman" w:eastAsia="Times New Roman" w:hAnsi="Times New Roman"/>
          <w:sz w:val="18"/>
          <w:szCs w:val="18"/>
          <w:color w:val="212529"/>
        </w:rPr>
        <w:t xml:space="preserve"> $5.7 million carrying value of the NCI issued to YapStone, Inc. in March 2019, were distributed in cash to the PRET NCIs in September 2020. Simultaneous with the cash distributions, all of the NCIs of PRET fully redeemed their interests.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Non-Controlling Interest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Note 12,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for information about assets contributed to the Company during the first quarter of 2019 that involved a contingent purchase price.</w:t>
      </w:r>
    </w:p>
    <w:p>
      <w:pPr>
        <w:spacing w:after="0" w:line="200" w:lineRule="exact"/>
        <w:rPr>
          <w:sz w:val="20"/>
          <w:szCs w:val="20"/>
          <w:color w:val="auto"/>
        </w:rPr>
      </w:pPr>
    </w:p>
    <w:p>
      <w:pPr>
        <w:spacing w:after="0" w:line="2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SETTLEMENT ASSETS AND OBLIGATIONS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Consumer Payments Segment</w:t>
      </w:r>
    </w:p>
    <w:p>
      <w:pPr>
        <w:spacing w:after="0" w:line="2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 xml:space="preserve">In the Company’s Consumer Payments reportable segment, funds settlement refers to the process of transferring funds for sales and credits between card issuers and merchants. The standards of the card networks restrict non-members, such as the Company, from performing funds settlement or accessing merchant settlement funds. Instead, these funds must be in the possession of a member bank until the merchant is funded. The Company has agreements with member banks which allow the Company to route transactions under the member bank's control to clear transactions through the card networks. Timing differences, interchange fees, merchant reserves and exception items cause differences between the amounts received from the card networks and the amounts funded to the merchants. Since settlement funds are required to be in the possession of a member bank until the merchant is funded, these funds are not assets of the Company and the associated obligations are not liabilities of the Company. Therefore, neither is recognized in the Company’s consolidated balance sheets. Member banks held merchant funds of </w:t>
      </w:r>
      <w:r>
        <w:rPr>
          <w:rFonts w:ascii="Times New Roman" w:cs="Times New Roman" w:eastAsia="Times New Roman" w:hAnsi="Times New Roman"/>
          <w:sz w:val="18"/>
          <w:szCs w:val="18"/>
          <w:color w:val="000000"/>
        </w:rPr>
        <w:t>$97.9 million and $79.8 million at September 30, 2020 and December 31, 2019,</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respectively.</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Exception items include items such as customer chargeback amounts received from merchants and other losses. Under agreements between the Company and its merchant customers, the merchants assume liability for such chargebacks and losses. If the Company is ultimately unable to collect amounts from the merchants for any charges or losses due to merchant fraud, insolvency, bankruptcy or any other reason, it may be liable for these charges. In order to mitigate the risk of such liability, the Company may 1) require certain merchants to establish and maintain reserves designed to protect the Company from such charges or losses under its risk-based underwriting policy and 2) engage with certain ISOs in partner programs in which the ISOs assume liability for these charges or losses. A merchant reserve account is funded by the merchant and held by the member bank during the term of the merchant agreement. Unused merchant reserves are returned to the merchant after termination of the merchant agreement or in certain instances upon a reassessment of risks during the term of the merchant agreement.</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Exception items that the Company is attempting to collect from the merchants through the funds settlement process, merchant reserves or from the ISO partners are recognized as settlement assets in the Company’s consolidated balance sheets, with an offsetting reserve for those amounts the Company estimates it will not be able to recover. Provisions for merchant losses are included as a component of costs of services in the Company’s consolidated statements of operations.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Payments Segment</w:t>
      </w:r>
    </w:p>
    <w:p>
      <w:pPr>
        <w:spacing w:after="0" w:line="16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Company’s Commercial Payments segment, the Company earns revenue from certain of its services by processing ACH transactions for financial institutions and other business customers. Customers transfer funds to the Company, which are held in bank accounts controlled by the Company until such time as the ACH transactions are made. The Company recognizes these cash balances within restricted cash and settlement obligations in its consolidated balance sheets.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settlement assets and obligations at September 30, 2020 and December 31, 2019 were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60" w:type="dxa"/>
            <w:vAlign w:val="bottom"/>
            <w:tcBorders>
              <w:bottom w:val="single" w:sz="8" w:color="auto"/>
            </w:tcBorders>
            <w:shd w:val="clear" w:color="auto" w:fill="CCEEFF"/>
          </w:tcPr>
          <w:p>
            <w:pPr>
              <w:spacing w:after="0"/>
              <w:rPr>
                <w:sz w:val="19"/>
                <w:szCs w:val="19"/>
                <w:color w:val="auto"/>
              </w:rPr>
            </w:pPr>
          </w:p>
        </w:tc>
      </w:tr>
      <w:tr>
        <w:trPr>
          <w:trHeight w:val="223"/>
        </w:trPr>
        <w:tc>
          <w:tcPr>
            <w:tcW w:w="7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20" w:type="dxa"/>
            <w:vAlign w:val="bottom"/>
          </w:tcPr>
          <w:p>
            <w:pPr>
              <w:spacing w:after="0"/>
              <w:rPr>
                <w:sz w:val="19"/>
                <w:szCs w:val="19"/>
                <w:color w:val="auto"/>
              </w:rPr>
            </w:pPr>
          </w:p>
        </w:tc>
        <w:tc>
          <w:tcPr>
            <w:tcW w:w="1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210"/>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Settlement Assets:</w:t>
            </w:r>
          </w:p>
        </w:tc>
        <w:tc>
          <w:tcPr>
            <w:tcW w:w="18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Card settlements due from merchants, net of estimated losses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Card settlements due (to) from processors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settlement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83"/>
        </w:trPr>
        <w:tc>
          <w:tcPr>
            <w:tcW w:w="7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Settlement Obligations:</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Card settlements due to merchants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7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Due to ACH payees (1)</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37,745</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settlement obligations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37,789</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Amounts due to ACH payees are held by the Company in restricted cash.</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As disclosed in Note 2, </w:t>
      </w:r>
      <w:r>
        <w:rPr>
          <w:rFonts w:ascii="Times New Roman" w:cs="Times New Roman" w:eastAsia="Times New Roman" w:hAnsi="Times New Roman"/>
          <w:sz w:val="18"/>
          <w:szCs w:val="18"/>
          <w:i w:val="1"/>
          <w:iCs w:val="1"/>
          <w:color w:val="auto"/>
        </w:rPr>
        <w:t>Sale of Business</w:t>
      </w:r>
      <w:r>
        <w:rPr>
          <w:rFonts w:ascii="Times New Roman" w:cs="Times New Roman" w:eastAsia="Times New Roman" w:hAnsi="Times New Roman"/>
          <w:sz w:val="18"/>
          <w:szCs w:val="18"/>
          <w:color w:val="auto"/>
        </w:rPr>
        <w:t>, in September 2020 PRET sold certain assets from PRET's real estate services business, which resulted in the reduction of certain goodwill and intangible assets in the Company's Integrated Partners reporting unit.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goodwill was as follows:</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122"/>
        </w:trPr>
        <w:tc>
          <w:tcPr>
            <w:tcW w:w="7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80" w:type="dxa"/>
            <w:vAlign w:val="bottom"/>
          </w:tcPr>
          <w:p>
            <w:pPr>
              <w:spacing w:after="0"/>
              <w:rPr>
                <w:sz w:val="10"/>
                <w:szCs w:val="10"/>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142"/>
        </w:trPr>
        <w:tc>
          <w:tcPr>
            <w:tcW w:w="7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Payments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106,832</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Integrated Partners</w:t>
            </w:r>
          </w:p>
        </w:tc>
        <w:tc>
          <w:tcPr>
            <w:tcW w:w="18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r>
      <w:tr>
        <w:trPr>
          <w:trHeight w:val="248"/>
        </w:trPr>
        <w:tc>
          <w:tcPr>
            <w:tcW w:w="7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109,515</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considered the market conditions generated by the COVID-19 pandemic and concluded that there were no indicators of impairment for the goodwill of the Consumer Payments reporting unit for the three months and nine months ended September 30, 2020.</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tests goodwill for impairment on an annual basis, or when events occur or circumstances indicate the fair value of a reporting unit may be below its carrying value. The Company will continue to monitor the economic impact of COVID-19 on its ongoing assessment of goodwill. The Company expects to perform its next annual goodwill impairment test during the fourth quarter of 2020 using market data and discounted cash flow analysis. The Company concluded there was no impairment as of September 30, 2020 or December 31, 2019. As such, there was no accumulated impairment loss as of September 30, 2020 and December 31, 2019.</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 xml:space="preserve">The Company's intangible assets include acquired merchant portfolios, customer relationships, ISO relationships, trade names, technology, non-compete agreements, and residual buyouts. </w:t>
      </w:r>
      <w:r>
        <w:rPr>
          <w:rFonts w:ascii="Times New Roman" w:cs="Times New Roman" w:eastAsia="Times New Roman" w:hAnsi="Times New Roman"/>
          <w:sz w:val="18"/>
          <w:szCs w:val="18"/>
          <w:color w:val="000000"/>
        </w:rPr>
        <w:t>As of September 30, 2020 and December 31, 2019, intangible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142"/>
        </w:trPr>
        <w:tc>
          <w:tcPr>
            <w:tcW w:w="7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Merchant portfolios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114,554</w:t>
            </w:r>
          </w:p>
        </w:tc>
      </w:tr>
      <w:tr>
        <w:trPr>
          <w:trHeight w:val="229"/>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40,740</w:t>
            </w:r>
          </w:p>
        </w:tc>
      </w:tr>
      <w:tr>
        <w:trPr>
          <w:trHeight w:val="230"/>
        </w:trPr>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Residual buyouts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112,731</w:t>
            </w:r>
          </w:p>
        </w:tc>
      </w:tr>
      <w:tr>
        <w:trPr>
          <w:trHeight w:val="229"/>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Non-compete agreements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r>
      <w:tr>
        <w:trPr>
          <w:trHeight w:val="229"/>
        </w:trPr>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r>
      <w:tr>
        <w:trPr>
          <w:trHeight w:val="230"/>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Technology</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15,390</w:t>
            </w:r>
          </w:p>
        </w:tc>
      </w:tr>
      <w:tr>
        <w:trPr>
          <w:trHeight w:val="229"/>
        </w:trPr>
        <w:tc>
          <w:tcPr>
            <w:tcW w:w="71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ISO relationships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15,200</w:t>
            </w:r>
          </w:p>
        </w:tc>
      </w:tr>
      <w:tr>
        <w:trPr>
          <w:trHeight w:val="223"/>
        </w:trPr>
        <w:tc>
          <w:tcPr>
            <w:tcW w:w="7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gross carrying value</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304,875</w:t>
            </w:r>
          </w:p>
        </w:tc>
      </w:tr>
      <w:tr>
        <w:trPr>
          <w:trHeight w:val="88"/>
        </w:trPr>
        <w:tc>
          <w:tcPr>
            <w:tcW w:w="7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tcPr>
          <w:p>
            <w:pPr>
              <w:spacing w:after="0"/>
              <w:rPr>
                <w:sz w:val="7"/>
                <w:szCs w:val="7"/>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Merchant portfolios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(12,655)</w:t>
            </w:r>
          </w:p>
        </w:tc>
      </w:tr>
      <w:tr>
        <w:trPr>
          <w:trHeight w:val="230"/>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(25,836)</w:t>
            </w:r>
          </w:p>
        </w:tc>
      </w:tr>
      <w:tr>
        <w:trPr>
          <w:trHeight w:val="229"/>
        </w:trPr>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Residual buyouts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(59,796)</w:t>
            </w:r>
          </w:p>
        </w:tc>
      </w:tr>
      <w:tr>
        <w:trPr>
          <w:trHeight w:val="229"/>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Non-compete agreements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r>
      <w:tr>
        <w:trPr>
          <w:trHeight w:val="230"/>
        </w:trPr>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29"/>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Technology</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(12,758)</w:t>
            </w:r>
          </w:p>
        </w:tc>
      </w:tr>
      <w:tr>
        <w:trPr>
          <w:trHeight w:val="229"/>
        </w:trPr>
        <w:tc>
          <w:tcPr>
            <w:tcW w:w="71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ISO relationships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(6,341)</w:t>
            </w:r>
          </w:p>
        </w:tc>
      </w:tr>
      <w:tr>
        <w:trPr>
          <w:trHeight w:val="223"/>
        </w:trPr>
        <w:tc>
          <w:tcPr>
            <w:tcW w:w="71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accumulated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(122,049)</w:t>
            </w:r>
          </w:p>
        </w:tc>
      </w:tr>
      <w:tr>
        <w:trPr>
          <w:trHeight w:val="88"/>
        </w:trPr>
        <w:tc>
          <w:tcPr>
            <w:tcW w:w="7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tcPr>
          <w:p>
            <w:pPr>
              <w:spacing w:after="0"/>
              <w:rPr>
                <w:sz w:val="7"/>
                <w:szCs w:val="7"/>
                <w:color w:val="auto"/>
              </w:rPr>
            </w:pPr>
          </w:p>
        </w:tc>
      </w:tr>
      <w:tr>
        <w:trPr>
          <w:trHeight w:val="229"/>
        </w:trPr>
        <w:tc>
          <w:tcPr>
            <w:tcW w:w="7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allowance for impairment</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7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55"/>
        </w:trPr>
        <w:tc>
          <w:tcPr>
            <w:tcW w:w="718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Net carrying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182,826</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w:t>
      </w:r>
      <w:r>
        <w:rPr>
          <w:rFonts w:ascii="Times New Roman" w:cs="Times New Roman" w:eastAsia="Times New Roman" w:hAnsi="Times New Roman"/>
          <w:sz w:val="18"/>
          <w:szCs w:val="18"/>
          <w:i w:val="1"/>
          <w:iCs w:val="1"/>
          <w:color w:val="auto"/>
        </w:rPr>
        <w:t>, Commitments and Contingencies,</w:t>
      </w:r>
      <w:r>
        <w:rPr>
          <w:rFonts w:ascii="Times New Roman" w:cs="Times New Roman" w:eastAsia="Times New Roman" w:hAnsi="Times New Roman"/>
          <w:sz w:val="18"/>
          <w:szCs w:val="18"/>
          <w:color w:val="auto"/>
        </w:rPr>
        <w:t xml:space="preserve"> for information about an acquired merchant portfolio with a contingent purchase price.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expense for finite-lived intangible assets was $8.3 million and $25.2 million for the three months and nine months ended September 30, 2020, respectively, and $8.4 million and $24.0 million for the three months and nine months ended September 30, 2019, respectively. Amortization expense for future periods could differ due to new intangible asset acquisitions, changes in useful lives of existing intangible assets, and other relevant events or circumstances.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tests intangible assets for impairment when events occur or circumstances indicate that the fair value of an intangible asset or group of intangible assets may be impaired. In the Company's Consumer Payments segment, a residual buyout intangible asset with a net carrying value of $2.4 million was deemed to be partially impaired. The fair value of this intangible asset was estimated to be $1.4 million, thus resulting in the recognition of an impairment charge of $1.0 million during the third quarter of 2020 and this amount is included in SG&amp;A expenses on the Company's unaudited condensed consolidated statement of operations for the three months and nine months ended September 30, 2020. This impairment was the result of diminished cash flows generated by the merchant portfolio. Many of the Company's merchant customers in its Consumer Payments reportable segment are associated with ISOs, and these ISOs typically have a right to receive commissions (residuals) from the Company based upon a percentage of the net revenue generated from merchant transactions. The Company may decide to pay an ISO an agreed-upon amount in exchange for the ISO's surrender of its right to receive future commissions on the merchant portfolio. The amount that the Company pays for these residual buyouts is capitalized and subsequently amortized over the expected life of the underlying merchant relationship.</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considered the market conditions generated by the COVID-19 pandemic and concluded that there were no additional impairment indicators present at September 30, 2020 and that no other intangible assets were likely impaired.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PROPERTY, EQUIPMENT AND SOFTWARE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The Company's property, equipment, and software balance primarily consists of furniture, fixtures, and equipment used in the normal course of business, computer software developed for internal use, and leasehold improvements. Computer software represents purchased software and internally developed back office and merchant interfacing systems used to assist the reporting of merchant processing transactions and other related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property, equipment, and software as of September 30, 2020 and December 31, 2019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183"/>
        </w:trPr>
        <w:tc>
          <w:tcPr>
            <w:tcW w:w="47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20" w:type="dxa"/>
            <w:vAlign w:val="bottom"/>
            <w:shd w:val="clear" w:color="auto" w:fill="CCEEFF"/>
          </w:tcPr>
          <w:p>
            <w:pPr>
              <w:spacing w:after="0"/>
              <w:rPr>
                <w:sz w:val="19"/>
                <w:szCs w:val="19"/>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120" w:type="dxa"/>
            <w:vAlign w:val="bottom"/>
          </w:tcPr>
          <w:p>
            <w:pPr>
              <w:spacing w:after="0"/>
              <w:rPr>
                <w:sz w:val="19"/>
                <w:szCs w:val="19"/>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37,440</w:t>
            </w:r>
          </w:p>
        </w:tc>
        <w:tc>
          <w:tcPr>
            <w:tcW w:w="120" w:type="dxa"/>
            <w:vAlign w:val="bottom"/>
            <w:shd w:val="clear" w:color="auto" w:fill="CCEEFF"/>
          </w:tcPr>
          <w:p>
            <w:pPr>
              <w:spacing w:after="0"/>
              <w:rPr>
                <w:sz w:val="19"/>
                <w:szCs w:val="19"/>
                <w:color w:val="auto"/>
              </w:rPr>
            </w:pP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120" w:type="dxa"/>
            <w:vAlign w:val="bottom"/>
            <w:tcBorders>
              <w:bottom w:val="single" w:sz="8" w:color="CCEEFF"/>
            </w:tcBorders>
          </w:tcPr>
          <w:p>
            <w:pPr>
              <w:spacing w:after="0"/>
              <w:rPr>
                <w:sz w:val="19"/>
                <w:szCs w:val="19"/>
                <w:color w:val="auto"/>
              </w:rPr>
            </w:pPr>
          </w:p>
        </w:tc>
      </w:tr>
      <w:tr>
        <w:trPr>
          <w:trHeight w:val="223"/>
        </w:trPr>
        <w:tc>
          <w:tcPr>
            <w:tcW w:w="4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56,695</w:t>
            </w:r>
          </w:p>
        </w:tc>
        <w:tc>
          <w:tcPr>
            <w:tcW w:w="120" w:type="dxa"/>
            <w:vAlign w:val="bottom"/>
            <w:shd w:val="clear" w:color="auto" w:fill="CCEEFF"/>
          </w:tcPr>
          <w:p>
            <w:pPr>
              <w:spacing w:after="0"/>
              <w:rPr>
                <w:sz w:val="19"/>
                <w:szCs w:val="19"/>
                <w:color w:val="auto"/>
              </w:rPr>
            </w:pP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(33,177)</w:t>
            </w:r>
          </w:p>
        </w:tc>
        <w:tc>
          <w:tcPr>
            <w:tcW w:w="120" w:type="dxa"/>
            <w:vAlign w:val="bottom"/>
            <w:tcBorders>
              <w:bottom w:val="single" w:sz="8" w:color="CCEEFF"/>
            </w:tcBorders>
          </w:tcPr>
          <w:p>
            <w:pPr>
              <w:spacing w:after="0"/>
              <w:rPr>
                <w:sz w:val="19"/>
                <w:szCs w:val="19"/>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23,518</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Depreciation expense for property, equipment, and software totaled $2.0 million and $5.7 million for the three months and nine months ended September 30, 2020, respectively, and $1.7 million and $4.7 million for the three months and nine months ended September 30, 2019, respectively.</w:t>
      </w:r>
    </w:p>
    <w:p>
      <w:pPr>
        <w:spacing w:after="0" w:line="200" w:lineRule="exact"/>
        <w:rPr>
          <w:sz w:val="20"/>
          <w:szCs w:val="20"/>
          <w:color w:val="auto"/>
        </w:rPr>
      </w:pPr>
    </w:p>
    <w:p>
      <w:pPr>
        <w:spacing w:after="0" w:line="22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ACCOUNTS PAYABLE AND ACCRUED EXPENSES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accrues for certain expenses that have been incurred and not paid, which are classified within accounts payable and accrued expenses in the accompanying consolidated balance sheets.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components of accounts payable and accrued expenses that exceeded five percent of total current liabilities at either September 30, 2020 or December 31, 2019 consisted of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142"/>
        </w:trPr>
        <w:tc>
          <w:tcPr>
            <w:tcW w:w="7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w:t>
            </w:r>
          </w:p>
        </w:tc>
      </w:tr>
      <w:tr>
        <w:trPr>
          <w:trHeight w:val="23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network fees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w:t>
            </w: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DEBT OBLIGATIONS</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Outstanding debt obligations as of September 30, 2020 and December 31, 2019 consisted of the following:</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88"/>
        </w:trPr>
        <w:tc>
          <w:tcPr>
            <w:tcW w:w="71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Agreement: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1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w w:val="99"/>
              </w:rPr>
              <w:t>Term facility - Matures January 3, 2023 and bears interest at LIBOR (with a LIBOR "floor" of</w:t>
            </w: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1.00% beginning March 18, 2020) plus 6.50% and 5.00% at September 30, 2020 and</w:t>
            </w: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December 31, 2019, respectively (actual rate of 7.50% and 6.71% at September 30, 2020 and</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280,419</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388,837</w:t>
            </w:r>
          </w:p>
        </w:tc>
        <w:tc>
          <w:tcPr>
            <w:tcW w:w="0" w:type="dxa"/>
            <w:vAlign w:val="bottom"/>
          </w:tcPr>
          <w:p>
            <w:pPr>
              <w:spacing w:after="0"/>
              <w:rPr>
                <w:sz w:val="1"/>
                <w:szCs w:val="1"/>
                <w:color w:val="auto"/>
              </w:rPr>
            </w:pPr>
          </w:p>
        </w:tc>
      </w:tr>
      <w:tr>
        <w:trPr>
          <w:trHeight w:val="229"/>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2019, respectively)</w:t>
            </w:r>
          </w:p>
        </w:tc>
        <w:tc>
          <w:tcPr>
            <w:tcW w:w="180" w:type="dxa"/>
            <w:vAlign w:val="bottom"/>
            <w:vMerge w:val="continue"/>
          </w:tcPr>
          <w:p>
            <w:pPr>
              <w:spacing w:after="0"/>
              <w:rPr>
                <w:sz w:val="19"/>
                <w:szCs w:val="19"/>
                <w:color w:val="auto"/>
              </w:rPr>
            </w:pPr>
          </w:p>
        </w:tc>
        <w:tc>
          <w:tcPr>
            <w:tcW w:w="1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1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Revolving credit facility - $25.0 million line, matures January 22, 2022, and bears interest at</w:t>
            </w:r>
          </w:p>
        </w:tc>
        <w:tc>
          <w:tcPr>
            <w:tcW w:w="1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LIBOR plus 6.50% and 5.00% at September 30, 2020 and December 31, 2019, respectively</w:t>
            </w:r>
          </w:p>
        </w:tc>
        <w:tc>
          <w:tcPr>
            <w:tcW w:w="180" w:type="dxa"/>
            <w:vAlign w:val="bottom"/>
            <w:shd w:val="clear" w:color="auto" w:fill="CCEEFF"/>
          </w:tcPr>
          <w:p>
            <w:pPr>
              <w:spacing w:after="0"/>
              <w:rPr>
                <w:sz w:val="15"/>
                <w:szCs w:val="15"/>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(actual rate of 6.65% and 6.71% at September 30, 2020 and December 31, 2019, respectively)</w:t>
            </w:r>
          </w:p>
        </w:tc>
        <w:tc>
          <w:tcPr>
            <w:tcW w:w="180" w:type="dxa"/>
            <w:vAlign w:val="bottom"/>
            <w:shd w:val="clear" w:color="auto" w:fill="CCEEFF"/>
          </w:tcPr>
          <w:p>
            <w:pPr>
              <w:spacing w:after="0"/>
              <w:rPr>
                <w:sz w:val="19"/>
                <w:szCs w:val="19"/>
                <w:color w:val="auto"/>
              </w:rPr>
            </w:pPr>
          </w:p>
        </w:tc>
        <w:tc>
          <w:tcPr>
            <w:tcW w:w="1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Term Loan - Subordinated, matures July 3, 2023 and bears interest at 5.00% plus an applicable</w:t>
            </w: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margin (actual rate of 12.50% and 10.50% at September 30, 2020 and December 31, 2019,</w:t>
            </w:r>
          </w:p>
        </w:tc>
        <w:tc>
          <w:tcPr>
            <w:tcW w:w="18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100,693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95,142</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debt obligations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495,479</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discounts and deferred financing costs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0" w:type="dxa"/>
            <w:vAlign w:val="bottom"/>
          </w:tcPr>
          <w:p>
            <w:pPr>
              <w:spacing w:after="0"/>
              <w:rPr>
                <w:sz w:val="1"/>
                <w:szCs w:val="1"/>
                <w:color w:val="auto"/>
              </w:rPr>
            </w:pPr>
          </w:p>
        </w:tc>
      </w:tr>
      <w:tr>
        <w:trPr>
          <w:trHeight w:val="223"/>
        </w:trPr>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Long-term debt,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371,206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485,578</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of the Company's assets are pledged as collateral under the credit agreements. The Company is neither a borrower nor a guarantor of the credit agreements. The Company's subsidiaries that are borrowers or guarantors under the credit agreements are referred to as the "Borrowers."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Amendments in First Quarter 2020</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18, 2020, the Borrowers entered into an amendment to the Senior Credit Agreement with an existing syndicate of lenders (the "Senior Credit Agreement") and into a related amendment to the existing credit agreement with Goldman Sachs Specialty Lending, LLC (the "GS Credit Agreement"). Both amendments were accounted for as debt modifications under GAAP. Together, these amendments are referred to as the "Sixth Amendment."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Sixth Amendment, the outstanding balances under the term loan facilities of the Senior Credit Agreement and the GS Credit Agreement term loan were not changed. Additionally, the Senior Credit Agreement continues to provide a $25.0 million revolving credit facility, which includes accommodation for any outstanding letters of credit and a $5.0 million swing line facility. At September 30, 2020 and December 31, 2019, approximately $14.0 million and $13.5 million, respectively, was available under the revolving credit facility. Undrawn commitments for letters of credit under the revolving credit facility were not material at September 30, 2020 and December 31, 2019.</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Credit Agreement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Outstanding borrowings under the Senior Credit Agreement accrue interest using either a base rate (as defined) or a LIBOR rate plus an applicable margin, or percentage per annum, as provided in the amended credit agreement. For the term loan facility of the Senior Credit Facility, the Sixth Amendment provides for a LIBOR "floor" of 1.0% per annum. Accrued interest is payable quarterly. The revolving credit facility incurs a commitment fee on any undrawn amount of the $25.0 million credit line, which equates to 0.50% per annum for the unused portion.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GS Credit Agreement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Outstanding borrowings under the GS Credit Agreement accrue interest at 5.0%, plus an applicable margin, or percentage per annum, as indicated in the amended credit agreement. Accrued interest is payable quarterly at 5.0% per annum, and the accrued interest attributable to the applicable margin is capitalized as payment-in-kind ("PIK") interest each quarter.</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Applicable Interest Rate Margins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interest rate margins for the Senior Credit Agreement and the GS Credit Agreement increased incrementally by 1.0% on June 16, 2020, and then increased incrementally by 0.5% on each of the dates July 16, August 15, and September 14, 2020 because the Borrowers did not make a permitted accelerated principal payment of at least $100 million under the term loan facility of the Senior Credit Agreement on or before those dates as described in the Sixth Amendment (the "$100 million principal prepayment"). The additional interest expense incurred by the Borrowers due to the increases in the applicable margin for the revolving credit facility under the Senior Credit Agreement was paid in cash and such increases for the term facility of the Senior Credit Facility and the GS Credit Agreement were accounted for as PIK interest at the election of the Borrowers.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25, 2020, the Borrowers made the $100 million principal prepayment plus an additional $6.5 million principal prepayment to reduce the outstanding indebtedness under the term loan facility of the Senior Credit Agreement. This $106.5 million prepayment resulted in simultaneous reductions in the applicable interest rate margins under the Senior Credit Agreement and the GS Credit Agreement, which prospectively eliminates and reverses the applicable margin increases described in the preceding paragraph.</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Senior Credit Agreement and the GS Credit Agreement, the future applicable interest rate margins may vary based on the Borrowers' future Total Net Leverage Ratio (as defined) in addition to future changes in the underlying market rates for LIBOR and the rate used for base-rate borrowings. The Senior Credit Agreement and the GS Credit Agreement also have incremental margins that would apply to the future applicable interest rates if the Borrowers are deemed to be in violation of the terms of the credit agreement.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Maturities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terms and conditions existing at September 30, 2020, future minimum principal payments for long-term debt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3540" w:type="dxa"/>
            <w:vAlign w:val="bottom"/>
            <w:tcBorders>
              <w:bottom w:val="single" w:sz="8" w:color="auto"/>
            </w:tcBorders>
            <w:gridSpan w:val="4"/>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Principal Due</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Senior Credit Agreement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GS Credit Agreement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02"/>
        </w:trPr>
        <w:tc>
          <w:tcPr>
            <w:tcW w:w="4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Twelve-month period ending September 30,</w:t>
            </w:r>
          </w:p>
        </w:tc>
        <w:tc>
          <w:tcPr>
            <w:tcW w:w="360" w:type="dxa"/>
            <w:vAlign w:val="bottom"/>
            <w:shd w:val="clear" w:color="auto" w:fill="CCEEFF"/>
          </w:tcPr>
          <w:p>
            <w:pPr>
              <w:spacing w:after="0"/>
              <w:rPr>
                <w:sz w:val="8"/>
                <w:szCs w:val="8"/>
                <w:color w:val="auto"/>
              </w:rPr>
            </w:pPr>
          </w:p>
        </w:tc>
        <w:tc>
          <w:tcPr>
            <w:tcW w:w="1240" w:type="dxa"/>
            <w:vAlign w:val="bottom"/>
            <w:vMerge w:val="restart"/>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Term</w:t>
            </w:r>
          </w:p>
        </w:tc>
        <w:tc>
          <w:tcPr>
            <w:tcW w:w="300" w:type="dxa"/>
            <w:vAlign w:val="bottom"/>
            <w:shd w:val="clear" w:color="auto" w:fill="CCEEFF"/>
          </w:tcPr>
          <w:p>
            <w:pPr>
              <w:spacing w:after="0"/>
              <w:rPr>
                <w:sz w:val="8"/>
                <w:szCs w:val="8"/>
                <w:color w:val="auto"/>
              </w:rPr>
            </w:pPr>
          </w:p>
        </w:tc>
        <w:tc>
          <w:tcPr>
            <w:tcW w:w="13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Revolver</w:t>
            </w:r>
          </w:p>
        </w:tc>
        <w:tc>
          <w:tcPr>
            <w:tcW w:w="200" w:type="dxa"/>
            <w:vAlign w:val="bottom"/>
            <w:shd w:val="clear" w:color="auto" w:fill="CCEEFF"/>
          </w:tcPr>
          <w:p>
            <w:pPr>
              <w:spacing w:after="0"/>
              <w:rPr>
                <w:sz w:val="8"/>
                <w:szCs w:val="8"/>
                <w:color w:val="auto"/>
              </w:rPr>
            </w:pPr>
          </w:p>
        </w:tc>
        <w:tc>
          <w:tcPr>
            <w:tcW w:w="1980" w:type="dxa"/>
            <w:vAlign w:val="bottom"/>
            <w:vMerge w:val="restart"/>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Term</w:t>
            </w: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160" w:type="dxa"/>
            <w:vAlign w:val="bottom"/>
            <w:gridSpan w:val="2"/>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80" w:type="dxa"/>
            <w:vAlign w:val="bottom"/>
            <w:vMerge w:val="continue"/>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2021 </w:t>
            </w:r>
            <w:r>
              <w:rPr>
                <w:rFonts w:ascii="Times New Roman" w:cs="Times New Roman" w:eastAsia="Times New Roman" w:hAnsi="Times New Roman"/>
                <w:sz w:val="18"/>
                <w:szCs w:val="18"/>
                <w:i w:val="1"/>
                <w:iCs w:val="1"/>
                <w:color w:val="auto"/>
              </w:rPr>
              <w:t>(current)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34,023</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45,023</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230,813</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230,813</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100,693</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280,419</w:t>
            </w:r>
          </w:p>
        </w:tc>
        <w:tc>
          <w:tcPr>
            <w:tcW w:w="3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392,112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12529"/>
        </w:rPr>
        <w:t>Additionally, the Company may be obligated to make certain additional mandatory prepayments after the end of each year based on excess cash flow, as defined in the Senior Credit Agreement. No such prepayments were due for the year ended December 31, 2019.</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Under the Senior Credit Agreement, prepayments of outstanding principal may be made in permitted increments with a 1% penalty for certain prepayments. Under the GS Credit Agreement, prepayment of outstanding principal is subject to a 4.0% penalty for certain prepayments occurring prior to March 18, 2021 and 2.0% for certain prepayments occurring between March</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18, 2021 and March 18, 2022. Such penalties will be based on the principal amount that is prepaid, subject to the terms of the credit agreements.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PIK Interest</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amount borrowed and outstanding under the GS Credit Agreement was $80.0 million at September 30, 2020 and December 31, 2019. Included in the outstanding principal balance at September 30, 2020 and December 31, 2019 was accumulated PIK interest of $20.7 million and $15.1 million, respectively. The principal amount of the GS Credit Agreement increased for PIK interest by $2.3 million and $5.6 million for the three months and nine months ended September 30, 2020, respectively. For the three months and nine months ended September 30, 2019, PIK interest added $1.3 million and $3.8 million, respectively, to the principal of the GS Credit Agreement.</w:t>
      </w:r>
    </w:p>
    <w:p>
      <w:pPr>
        <w:spacing w:after="0" w:line="3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and nine months ended September 30, 2020, PIK interest of approximately $0.9 million and $1.1 million, respectively, was added to the principal of the term facility of the Senior Credit Agreement. These amounts were composed entirely of the additional interest expense that resulted from the increases in the applicable margins that were previously described.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and Amortization of Deferred Loan Costs and Discounts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Interest expense, including fees for undrawn amounts under the revolving credit facility and amortization of deferred financing costs and debt discounts, was $13.5 million and $35.5 million for the three months and nine months ended September 30, 2020, respectively, and $10.5 million and $30.6 million for the three months and nine months ended September 30, 2019, respectively. </w:t>
      </w:r>
      <w:r>
        <w:rPr>
          <w:rFonts w:ascii="Times New Roman" w:cs="Times New Roman" w:eastAsia="Times New Roman" w:hAnsi="Times New Roman"/>
          <w:sz w:val="18"/>
          <w:szCs w:val="18"/>
          <w:color w:val="212529"/>
        </w:rPr>
        <w:t>Interest expense for the nine months ended September 30, 2019 also included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$0.4 million fee for the $70.0 million delayed principal draw under December 2018 amendment to the Senior Credit Agreement, which occurred during the first quarter of 2019.</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Sixth Amendment, $2.7 million of lender fees were capitalized in first quarter of 2020 and this amount was added to then-existing unamortized loan costs and discount of $5.6 million. Interest expense increased due to the amortization of deferred financing costs and debt discounts by $0.7 million and $1.8 million for the three months and nine months ended September 30, 2020, respectively, and by $0.4 million and $1.2 million for the three months and nine months ended September 30, 2019, respectively.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interest rates, which includes PIK interest and amortization of deferred financing costs and debt discounts, for the term debt under the Senior Credit Agreement and the GS Credit Agreement were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80" w:type="dxa"/>
            <w:vAlign w:val="bottom"/>
            <w:shd w:val="clear" w:color="auto" w:fill="CCEEFF"/>
          </w:tcPr>
          <w:p>
            <w:pPr>
              <w:spacing w:after="0"/>
              <w:rPr>
                <w:sz w:val="19"/>
                <w:szCs w:val="19"/>
                <w:color w:val="auto"/>
              </w:rPr>
            </w:pPr>
          </w:p>
        </w:tc>
        <w:tc>
          <w:tcPr>
            <w:tcW w:w="31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0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183"/>
        </w:trPr>
        <w:tc>
          <w:tcPr>
            <w:tcW w:w="20" w:type="dxa"/>
            <w:vAlign w:val="bottom"/>
          </w:tcPr>
          <w:p>
            <w:pPr>
              <w:spacing w:after="0"/>
              <w:rPr>
                <w:sz w:val="15"/>
                <w:szCs w:val="15"/>
                <w:color w:val="auto"/>
              </w:rPr>
            </w:pPr>
          </w:p>
        </w:tc>
        <w:tc>
          <w:tcPr>
            <w:tcW w:w="50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Term Debt</w:t>
            </w:r>
          </w:p>
        </w:tc>
        <w:tc>
          <w:tcPr>
            <w:tcW w:w="1800" w:type="dxa"/>
            <w:vAlign w:val="bottom"/>
            <w:tcBorders>
              <w:top w:val="single" w:sz="8" w:color="auto"/>
            </w:tcBorders>
          </w:tcPr>
          <w:p>
            <w:pPr>
              <w:jc w:val="right"/>
              <w:ind w:right="770"/>
              <w:spacing w:after="0" w:line="182" w:lineRule="exact"/>
              <w:rPr>
                <w:sz w:val="20"/>
                <w:szCs w:val="20"/>
                <w:color w:val="auto"/>
              </w:rPr>
            </w:pPr>
            <w:r>
              <w:rPr>
                <w:rFonts w:ascii="Times New Roman" w:cs="Times New Roman" w:eastAsia="Times New Roman" w:hAnsi="Times New Roman"/>
                <w:sz w:val="18"/>
                <w:szCs w:val="18"/>
                <w:color w:val="auto"/>
              </w:rPr>
              <w:t>2020</w:t>
            </w:r>
          </w:p>
        </w:tc>
        <w:tc>
          <w:tcPr>
            <w:tcW w:w="1220" w:type="dxa"/>
            <w:vAlign w:val="bottom"/>
            <w:tcBorders>
              <w:top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5"/>
                <w:szCs w:val="15"/>
                <w:color w:val="auto"/>
              </w:rPr>
            </w:pPr>
          </w:p>
        </w:tc>
        <w:tc>
          <w:tcPr>
            <w:tcW w:w="1780" w:type="dxa"/>
            <w:vAlign w:val="bottom"/>
            <w:tcBorders>
              <w:top w:val="single" w:sz="8" w:color="auto"/>
            </w:tcBorders>
          </w:tcPr>
          <w:p>
            <w:pPr>
              <w:jc w:val="right"/>
              <w:ind w:right="750"/>
              <w:spacing w:after="0" w:line="182" w:lineRule="exact"/>
              <w:rPr>
                <w:sz w:val="20"/>
                <w:szCs w:val="20"/>
                <w:color w:val="auto"/>
              </w:rPr>
            </w:pPr>
            <w:r>
              <w:rPr>
                <w:rFonts w:ascii="Times New Roman" w:cs="Times New Roman" w:eastAsia="Times New Roman" w:hAnsi="Times New Roman"/>
                <w:sz w:val="18"/>
                <w:szCs w:val="18"/>
                <w:color w:val="auto"/>
              </w:rPr>
              <w:t>2020</w:t>
            </w:r>
          </w:p>
        </w:tc>
        <w:tc>
          <w:tcPr>
            <w:tcW w:w="1240" w:type="dxa"/>
            <w:vAlign w:val="bottom"/>
            <w:tcBorders>
              <w:top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Credit Agreement</w:t>
            </w: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9.87 %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7.92 %</w:t>
            </w:r>
          </w:p>
        </w:tc>
        <w:tc>
          <w:tcPr>
            <w:tcW w:w="120" w:type="dxa"/>
            <w:vAlign w:val="bottom"/>
          </w:tcPr>
          <w:p>
            <w:pPr>
              <w:spacing w:after="0"/>
              <w:rPr>
                <w:sz w:val="19"/>
                <w:szCs w:val="19"/>
                <w:color w:val="auto"/>
              </w:rPr>
            </w:pPr>
          </w:p>
        </w:tc>
        <w:tc>
          <w:tcPr>
            <w:tcW w:w="1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8.57 %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r>
      <w:tr>
        <w:trPr>
          <w:trHeight w:val="95"/>
        </w:trPr>
        <w:tc>
          <w:tcPr>
            <w:tcW w:w="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428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7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r>
      <w:tr>
        <w:trPr>
          <w:trHeight w:val="234"/>
        </w:trPr>
        <w:tc>
          <w:tcPr>
            <w:tcW w:w="2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GS Credit Agreement</w:t>
            </w: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14.62 %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10.90 %</w:t>
            </w:r>
          </w:p>
        </w:tc>
        <w:tc>
          <w:tcPr>
            <w:tcW w:w="120" w:type="dxa"/>
            <w:vAlign w:val="bottom"/>
          </w:tcPr>
          <w:p>
            <w:pPr>
              <w:spacing w:after="0"/>
              <w:rPr>
                <w:sz w:val="20"/>
                <w:szCs w:val="20"/>
                <w:color w:val="auto"/>
              </w:rPr>
            </w:pPr>
          </w:p>
        </w:tc>
        <w:tc>
          <w:tcPr>
            <w:tcW w:w="1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12.99 %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10.80 %</w:t>
            </w: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Extinguishment Costs and Debt Modification Costs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$106.5 million principal repayment made in September 2020 for the term facility of the Senior Credit Agreement was deemed to be a partial extinguishment of debt that was permitted and contemplated by the existing debt agreement, as previously amended. As a result, a proportional amount of unamortized loan costs and discount in the amount of $1.5 million was removed and expensed during the three months and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that the Company incurs for debt modification that are not eligible for deferral and subsequent amortization as interest expense are reported as debt modification costs on the Company's consolidated statement of operations. Approximately $0.4 million of such costs were expensed in connection with the Sixth Amendment during the first quarter of 2020.</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Senior Credit Agreement and the GS Credit Agreement, as amended, contain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Company's subsidiaries to the Company, merge or consolidate, dispose of assets, incur additional indebtedness, make certain investments or acquisitions, enter into certain transactions (including with affiliates), and to enter into certain leases.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also required to comply with certain restrictions on its Total Net Leverage Ratio, which is defined in the credit agreements as the ratio of consolidated total debt of the Borrowers to the Company's consolidated adjusted EBITDA (as defined in the Senior Credit Agreement and GS Credit Agreement). The maximum permitted Total Net Leverage Ratio was 7.75:1.00 at September 30, 2020. As of September 30, 2020, the Company remained in compliance with the covenants.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expense (benefit) for federal and state income taxes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shd w:val="clear" w:color="auto" w:fill="CCEEFF"/>
          </w:tcPr>
          <w:p>
            <w:pPr>
              <w:spacing w:after="0"/>
              <w:rPr>
                <w:sz w:val="18"/>
                <w:szCs w:val="18"/>
                <w:color w:val="auto"/>
              </w:rPr>
            </w:pPr>
          </w:p>
        </w:tc>
        <w:tc>
          <w:tcPr>
            <w:tcW w:w="2260" w:type="dxa"/>
            <w:vAlign w:val="bottom"/>
            <w:gridSpan w:val="5"/>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shd w:val="clear" w:color="auto" w:fill="CCEEFF"/>
          </w:tcPr>
          <w:p>
            <w:pPr>
              <w:spacing w:after="0"/>
              <w:rPr>
                <w:sz w:val="18"/>
                <w:szCs w:val="18"/>
                <w:color w:val="auto"/>
              </w:rPr>
            </w:pPr>
          </w:p>
        </w:tc>
        <w:tc>
          <w:tcPr>
            <w:tcW w:w="2080" w:type="dxa"/>
            <w:vAlign w:val="bottom"/>
            <w:gridSpan w:val="4"/>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64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60" w:type="dxa"/>
            <w:vAlign w:val="bottom"/>
            <w:gridSpan w:val="5"/>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shd w:val="clear" w:color="auto" w:fill="CCEEFF"/>
          </w:tcPr>
          <w:p>
            <w:pPr>
              <w:spacing w:after="0"/>
              <w:rPr>
                <w:sz w:val="19"/>
                <w:szCs w:val="19"/>
                <w:color w:val="auto"/>
              </w:rPr>
            </w:pPr>
          </w:p>
        </w:tc>
        <w:tc>
          <w:tcPr>
            <w:tcW w:w="2080" w:type="dxa"/>
            <w:vAlign w:val="bottom"/>
            <w:gridSpan w:val="4"/>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142"/>
        </w:trPr>
        <w:tc>
          <w:tcPr>
            <w:tcW w:w="6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DTA valuation allowance</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DTA valuation allowance - discrete item</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DTA = Deferred income tax asset</w:t>
      </w:r>
    </w:p>
    <w:p>
      <w:pPr>
        <w:spacing w:after="0" w:line="200" w:lineRule="exact"/>
        <w:rPr>
          <w:sz w:val="20"/>
          <w:szCs w:val="20"/>
          <w:color w:val="auto"/>
        </w:rPr>
      </w:pPr>
    </w:p>
    <w:p>
      <w:pPr>
        <w:spacing w:after="0" w:line="2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Company's effective income tax rate (benefit) for the three months and nine months ended September 30, 2020 was 13.8% and 15.2%, respectively, and was 22.9% and (10.3)% for the three months and nine months ended September 30, 2019, respectively. Approximately $12.4 million of income tax expense for the three months and nine months ended September 30, 2020 was attributable to the gain on the business sale (see Note 2, </w:t>
      </w:r>
      <w:r>
        <w:rPr>
          <w:rFonts w:ascii="Times New Roman" w:cs="Times New Roman" w:eastAsia="Times New Roman" w:hAnsi="Times New Roman"/>
          <w:sz w:val="18"/>
          <w:szCs w:val="18"/>
          <w:i w:val="1"/>
          <w:iCs w:val="1"/>
          <w:color w:val="auto"/>
        </w:rPr>
        <w:t>Sale of Business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Allowance for Deferred Income Tax Assets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considers all available positive and negative evidence to determine whether sufficient taxable income will be generated in the future to permit realization of the existing deferred tax assets. In accordance with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the Company is required to provide a valuation allowance against deferred income tax assets when it is "more likely than not" that some portion or all of the deferred tax assets will not be realized.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Among other provisions, the Tax Cuts and Jobs Act of 2017 amended Internal Revenue Code Section 163(j) to create limitations on the deductibility of business interest expense. Section 163(j) limits the business interest deduction to 30% of adjusted taxable income ("ATI"). For taxable years through 2021, the calculation of ATI closely aligns with earnings before interest, taxes, depreciation and amortization ("EBITDA"). Commencing in 2022, the ATI limitation more closely aligns with earnings before interest and taxes ("EBIT"), without adjusting for depreciation and amortization. Any business interest in excess of the annual limitation is carried forward indefinitely. In March 2020, the Coronavirus Aid, Relief, and Economic Security Act ("CARES Act") was enacted, which among other provisions, provides for the increase of the 163(j) ATI limitation from 30% to 50% for tax years 2019 and 2020.</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Adjustments to the valuation allowance are a component of income tax expense (benefit) in the Company's unaudited condensed consolidated statements of operations. An increase in the valuation allowance for deferred income taxes will increase income tax expense (or reduce an otherwise income tax benefit), and a decrease in the valuation allowance will decrease income tax expense (or increase an otherwise income tax benefit).</w:t>
      </w: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Based on management’s assessment, the Company decreased the valuation allowance in the three months and nine months ended September 30, 2020 by $6.4 million and $3.7 </w:t>
      </w:r>
      <w:r>
        <w:rPr>
          <w:rFonts w:ascii="Times New Roman" w:cs="Times New Roman" w:eastAsia="Times New Roman" w:hAnsi="Times New Roman"/>
          <w:sz w:val="18"/>
          <w:szCs w:val="18"/>
          <w:color w:val="222222"/>
        </w:rPr>
        <w:t>million, respectively,</w:t>
      </w:r>
      <w:r>
        <w:rPr>
          <w:rFonts w:ascii="Times New Roman" w:cs="Times New Roman" w:eastAsia="Times New Roman" w:hAnsi="Times New Roman"/>
          <w:sz w:val="18"/>
          <w:szCs w:val="18"/>
          <w:color w:val="auto"/>
        </w:rPr>
        <w:t xml:space="preserve"> for the business interest expense carryover comprised of (i) discrete decreases of $7.6 million and $9.1 million for the three months and nine months ended September 30, 2020, respectively, associated with the 2018 and 2019 business interest deferred income tax assets as a result of the CARES Act and expected utilization of these assets in 2020 and (ii) increases of $1.2 million and $5.4 million for the three months and nine months ended September 30, 2020, respectively, associated with the 2020 debt refinancing that results in excess business interest in future years.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For the three months and nine months ended September 30, 2019, the Company recorded a decrease of $0.1 million and an increase of $7.8 million, respectively, in the valuation allowance for the business interest carryover comprised of (i) a discrete increase of $2.6 million </w:t>
      </w:r>
      <w:r>
        <w:rPr>
          <w:rFonts w:ascii="Times New Roman" w:cs="Times New Roman" w:eastAsia="Times New Roman" w:hAnsi="Times New Roman"/>
          <w:sz w:val="18"/>
          <w:szCs w:val="18"/>
          <w:color w:val="222222"/>
        </w:rPr>
        <w:t>for the nine months 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September 30, 2019 </w:t>
      </w:r>
      <w:r>
        <w:rPr>
          <w:rFonts w:ascii="Times New Roman" w:cs="Times New Roman" w:eastAsia="Times New Roman" w:hAnsi="Times New Roman"/>
          <w:sz w:val="18"/>
          <w:szCs w:val="18"/>
          <w:color w:val="000000"/>
        </w:rPr>
        <w:t>associated with the 2018 business interest deferred tax asset and (ii) a decrease of $0.1 million and an increase of $5.2 million</w:t>
      </w:r>
      <w:r>
        <w:rPr>
          <w:rFonts w:ascii="Times New Roman" w:cs="Times New Roman" w:eastAsia="Times New Roman" w:hAnsi="Times New Roman"/>
          <w:sz w:val="18"/>
          <w:szCs w:val="18"/>
          <w:color w:val="222222"/>
        </w:rPr>
        <w:t xml:space="preserve"> for the three months and nine months ended September 30, 2019, respectively, </w:t>
      </w:r>
      <w:r>
        <w:rPr>
          <w:rFonts w:ascii="Times New Roman" w:cs="Times New Roman" w:eastAsia="Times New Roman" w:hAnsi="Times New Roman"/>
          <w:sz w:val="18"/>
          <w:szCs w:val="18"/>
          <w:color w:val="000000"/>
        </w:rPr>
        <w:t>associated with the 2019 excess business interest.</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continue to evaluate the realizability of the deferred tax assets on a quarterly basis and, as a result, the valuation allowance may change in future periods.</w:t>
      </w: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tax effects of uncertain tax positions only if such positions are more likely than not to be sustained based solely upon its technical merits at the reporting date. The Company refers to the difference between the tax benefit recognized in its financial statements and the tax benefit claimed in the income tax return as an "unrecognized tax benefit." As of September 30, 2020, the net amount of our unrecognized tax benefits was not material.</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income tax and income tax in multiple state jurisdictions. Tax periods for 2016 and all years thereafter remain open to examination by the federal and state taxing jurisdictions and tax periods for 2015 and all years thereafter remain open for certain state taxing jurisdictions to which the Company is subject.</w:t>
      </w:r>
    </w:p>
    <w:p>
      <w:pPr>
        <w:spacing w:after="0" w:line="200" w:lineRule="exact"/>
        <w:rPr>
          <w:sz w:val="20"/>
          <w:szCs w:val="20"/>
          <w:color w:val="auto"/>
        </w:rPr>
      </w:pPr>
    </w:p>
    <w:p>
      <w:pPr>
        <w:spacing w:after="0" w:line="242"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Minimum Annual Commitments with Third-Party Processors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The Company has multi-year agreements with third parties to provide certain payment processing services to the Company. The Company pays processing fees under these agreements that are based on the volume and dollar amounts of processed payments transactions. Some of these agreements have minimum annual requirements for processing volumes. As of September 30, 2020 and December 31, 2019, the Company is committed to pay minimum processing fees under these agreements of $14.0 million through the end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 to Lend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12,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for information on a loan commitment extended by the Company to another entity.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 for Asset Acquisitions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GAAP that applies to asset acquisitions that do not meet the definition of a business, the portion of the unpaid purchase price that is contingent on future activities is not initially recorded by the acquirer on the date of acquisition. Rather, the acquirer generally recognizes contingent consideration when it becomes probable and estimable.</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529"/>
        </w:rPr>
        <w:t>During the year ended December 31, 2019, the Company simultaneously entered into two agreements with another entity. These two related agreements 1) transfer to the Company certain perpetual rights to a merchant portfolio and 2) form a 5-year reseller arrangement whereby the Company will offer and sell to its customer base certain on-line services to be fulfilled by the other entity. No cash consideration was paid to, or received from, the other entity at execution of either agreement. Subsequent cash payments from the Company to the other entity for the merchant portfolio rights are determined based on a combination of both: 1) the actual financial performance of the acquired merchant portfolio rights and 2) actual sales and variable wholesale costs for the on-line services sold by the Company under the reseller arrangement. Amounts subsequently paid to the other entity are accounted for as either 1) standard costs of the services sold by the Company under the 5-year reseller agreement or 2) consideration for the merchant portfolio rights. Amounts paid that are accounted for as consideration for the merchant portfolio rights are capitalized and amortized over the estimated useful life of the merchant portfolio rights. As of September 30, 2020 and December 31, 2019, $3.8 million and $1.1 million, respectively, was capitalized as cost for the merchant portfolio. The capitalized cost, which is in our Consumer Payments reportable segment, is being amortized using an accelerated method. At this time, the Company cannot reasonably estimate the allocation of future cash payments. However, under the two contracts the Company does not anticipate any net losses.</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15, 2019, a subsidiary of the Company paid $15.2 million cash to acquire certain residual portfolio rights. This asset acquisition became part of the Company's Consumer Payments reportable segment. Of the $15.2 million, $5.0 million was funded from a delayed draw down of the Senior Credit Facility. Additionally, a $10.0 million draw was made against the revolving credit facility under the Senior Credit Facility and cash on hand was used to fund the remaining amount. The initial purchase price is subject to an increase of up to $6.4 million in accordance with the terms of the agreement between the Company and the sellers. As of September 30, 2020, an additional $2.1 million of the $6.4 million total contingent consideration has been paid to the seller. Additional purchase price is accounted for when payment to the seller becomes probable and is added to the amortizable carrying value of the asset. During the second quarter 2020, the Company and the seller amended the agreement to provide the Company with additional guaranteed returns from the acquired residual portfolio rights, and the additional consideration from the Company to the seller of $0.8 million was added to the amortizable carrying value of the asset.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 for Business Combinations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15,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for information about contingent consideration related to 2018 business acquisitions.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Legal Proceedings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The Company is involved in certain legal proceedings and claims which arise in the ordinary course of business. In the opinion of the Company and based on consultations with inside and outside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Risks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revenue is substantially derived from processing Visa and MasterCard bank card transactions. Because the Company is not a member bank, in order to process these bank card transactions, the Company maintains sponsorship agreements with member banks which require, among other things, that the Company abide by the by-laws and regulations of the card associations.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A majority of the Company's cash and restricted cash is held in certain financial institutions, substantially all of which is in excess of federal deposit insurance corporation limits. The Company does not believe it is exposed to any significant credit risk from these transactions.</w:t>
      </w:r>
    </w:p>
    <w:p>
      <w:pPr>
        <w:spacing w:after="0" w:line="200" w:lineRule="exact"/>
        <w:rPr>
          <w:sz w:val="20"/>
          <w:szCs w:val="20"/>
          <w:color w:val="auto"/>
        </w:rPr>
      </w:pPr>
    </w:p>
    <w:p>
      <w:pPr>
        <w:spacing w:after="0" w:line="2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 to Lend and Warrant to Acquire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22, 2019, the Company, through one of its wholly-owned subsidiaries, executed an interest-bearing loan and commitment agreement with another entity. The Company has loaned the entity a total of $3.5 million at September 30, 2020 and December 31, 2019, with a commitment to loan up to a total of $10.0 million based on certain growth metrics of the entity and continued compliance by the entity with the terms and covenants of the agreement. The Company's commitment to make additional advances under the loan agreement is dependent upon such advances not conflicting with covenants or restrictions under any of the Company's debt or other applicable agreements. Amounts loaned to this entity by the Company are secured by substantially all of the assets of the entity and by a personal guarantee. The note receivable has an interest rate of 12.0% per annum and is repayable in full in May 2024. The Company recognized interest income of $56,000 and $166,000 during the three months and nine months ended September 30, 2020, respectively. Interest income for the comparable periods in 2019 was $46,000 and $66,000, respectively. The Company also received a warrant to purchase a NCI in this entity's equity at a fixed amount. The loan agreement also gives the Company certain rights to purchase some or all of this entity's equity in the future, at the entity's then-current fair value. The fair values of the warrant, loan commitment, and purchase right were not material at inception or as of any subsequent reporting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Contributions of Assets and Contingent Payment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529"/>
        </w:rPr>
        <w:t>In February 2019, a subsidiary of the Company, Priority Hospitality Technology, LLC ("PHOT"), received a contribution of substantially all of the operating assets of eTab, LLC ("eTab") and CUMULUS POS, LLC ("Cumulus") under asset contribution agreements. No material liabilities were assumed by PHOT. These contributed assets were composed substantially of technology-related assets. Prior to these transactions, eTab was 80.0% owned by the Company's Chairman and Chief Executive Officer. No cash consideration was paid to the contributors of the eTab or Cumulus assets on the date of the transactions. As consideration for these contributed assets, the contributors were issued redeemable preferred equity interests in PHOT. Under these redeemable preferred equity interests, the contributors are eligible to receive up to $4.5 million of profits earned by PHOT, plus a preferred yield (6.0% per annum) on any of the $4.5 million amount that has not been distributed to them. The Company's Chairman and Chief Executive Officer owns 83.3% of the redeemable preferred equity interests in PHOT. Once a total of $4.5 million plus the preferred yield has been distributed to the holders of the redeemable preferred equity interests, the redeemable preferred equity interests will cease to exist. The Company determined that the contributor's carrying value of the eTab net assets (as a common control transaction under GAAP) was not material. Under the guidance for a common control transaction, the contribution of the eTab net assets did not result in a change of entity or the receipt of a business, therefore the Company's financial statements for prior periods have not been adjusted to reflect the historical results attributable to the eTab net assets. Additionally, no material amount was estimated for the fair value of the contributed Cumulus net assets. PHOT is a part of the Company's Integrated Partners reportable segment.</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Pursuant to the limited liability company agreement of PHOT, any material undistributed earnings generated by the eTab and Cumulus assets that are attributable to the holders of the preferred equity interests are reported by the Company as a form of NCI classified as mezzanine equity on the Company's consolidated balance sheet until $4.5 million and the preferred yield have been distributed to the holders of the preferred equity interests. Subsequent changes in the value of the NCI will be reported as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an equity transaction between the Company's consolidated retained earnings (accumulated deficit) and any carrying value of the NCI in mezzanine equity. Such amounts were not material to the Company's results of operations, financial position, or cash flows for the period covering February 1, 2019 (date the assets were contributed to the Company) through June 30 2020, and therefore no recognition of the NCI was reflected in the Company's consolidated financial statements. For the nine months ended September 30, 2020, $200,000 of PHOT's earnings were attributable to the NCIs of PHOT, and this amount was also distributed in cash to the NCIs during the same period.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Equity-Method Investment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2020, the Company wrote off its $0.2 million carrying value in an equity-method investment. This loss is reported as a component of Other (expense) income, net on the Company's unaudited condensed consolidated statement of operations. The Company's share of this entity's income or loss was not material for any reporting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RECONCILIATION OF STOCKHOLDERS' DEFICIT AND NON-CONTROLLING INTERESTS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22222"/>
        </w:rPr>
        <w:t>The Company is authorized to issue 100,000,000 shares of preferred stock with such designations, voting and other rights and preferences as may be determined from time to time by the board of directors. As of September 30, 2020 and December 31, 2019, the Company has not issued any shares of preferred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provide a reconciliation of the beginning and ending carrying amounts for the periods presented for the components of the deficit attributable to stockholders of the Company and equity attributable to NCI: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364299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42995"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30" w:lineRule="exact"/>
        <w:rPr>
          <w:sz w:val="20"/>
          <w:szCs w:val="20"/>
          <w:color w:val="auto"/>
        </w:rPr>
      </w:pPr>
    </w:p>
    <w:p>
      <w:pPr>
        <w:ind w:left="3100"/>
        <w:spacing w:after="0"/>
        <w:tabs>
          <w:tab w:leader="none" w:pos="4480" w:val="left"/>
        </w:tabs>
        <w:rPr>
          <w:sz w:val="20"/>
          <w:szCs w:val="20"/>
          <w:color w:val="auto"/>
        </w:rPr>
      </w:pPr>
      <w:r>
        <w:rPr>
          <w:rFonts w:ascii="Times New Roman" w:cs="Times New Roman" w:eastAsia="Times New Roman" w:hAnsi="Times New Roman"/>
          <w:sz w:val="18"/>
          <w:szCs w:val="18"/>
          <w:color w:val="auto"/>
        </w:rPr>
        <w:t>Preferred Stock</w:t>
      </w:r>
      <w:r>
        <w:rPr>
          <w:sz w:val="20"/>
          <w:szCs w:val="20"/>
          <w:color w:val="auto"/>
        </w:rPr>
        <w:tab/>
      </w:r>
      <w:r>
        <w:rPr>
          <w:rFonts w:ascii="Times New Roman" w:cs="Times New Roman" w:eastAsia="Times New Roman" w:hAnsi="Times New Roman"/>
          <w:sz w:val="17"/>
          <w:szCs w:val="17"/>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42995" cy="6172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429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tabs>
          <w:tab w:leader="none" w:pos="1240" w:val="left"/>
          <w:tab w:leader="none" w:pos="560" w:val="left"/>
        </w:tabs>
        <w:rPr>
          <w:sz w:val="20"/>
          <w:szCs w:val="20"/>
          <w:color w:val="auto"/>
        </w:rPr>
      </w:pPr>
      <w:r>
        <w:rPr>
          <w:rFonts w:ascii="Times New Roman" w:cs="Times New Roman" w:eastAsia="Times New Roman" w:hAnsi="Times New Roman"/>
          <w:sz w:val="18"/>
          <w:szCs w:val="18"/>
          <w:u w:val="single" w:color="auto"/>
          <w:color w:val="auto"/>
        </w:rPr>
        <w:t>Shares  Amount</w:t>
      </w:r>
      <w:r>
        <w:rPr>
          <w:sz w:val="20"/>
          <w:szCs w:val="20"/>
          <w:color w:val="auto"/>
        </w:rPr>
        <w:tab/>
      </w:r>
      <w:r>
        <w:rPr>
          <w:rFonts w:ascii="Times New Roman" w:cs="Times New Roman" w:eastAsia="Times New Roman" w:hAnsi="Times New Roman"/>
          <w:sz w:val="18"/>
          <w:szCs w:val="18"/>
          <w:color w:val="auto"/>
        </w:rPr>
        <w:t>Shares</w:t>
      </w:r>
      <w:r>
        <w:rPr>
          <w:sz w:val="20"/>
          <w:szCs w:val="20"/>
          <w:color w:val="auto"/>
        </w:rPr>
        <w:tab/>
      </w:r>
      <w:r>
        <w:rPr>
          <w:rFonts w:ascii="Times New Roman" w:cs="Times New Roman" w:eastAsia="Times New Roman" w:hAnsi="Times New Roman"/>
          <w:sz w:val="17"/>
          <w:szCs w:val="17"/>
          <w:u w:val="single" w:color="auto"/>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17145</wp:posOffset>
            </wp:positionV>
            <wp:extent cx="4114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9"/>
              </w:rPr>
              <w:t>Treasury Stock (a)</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Total Priority</w:t>
            </w: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CCEEFF"/>
            </w:tcBorders>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Technology</w:t>
            </w:r>
          </w:p>
        </w:tc>
        <w:tc>
          <w:tcPr>
            <w:tcW w:w="8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Additional</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Holdings,</w:t>
            </w: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Accumulated</w:t>
            </w:r>
          </w:p>
        </w:tc>
        <w:tc>
          <w:tcPr>
            <w:tcW w:w="110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4"/>
              </w:rPr>
              <w:t>Inc.</w:t>
            </w: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shd w:val="clear" w:color="auto" w:fill="CCEEFF"/>
          </w:tcPr>
          <w:p>
            <w:pPr>
              <w:spacing w:after="0"/>
              <w:rPr>
                <w:sz w:val="15"/>
                <w:szCs w:val="15"/>
                <w:color w:val="auto"/>
              </w:rPr>
            </w:pPr>
          </w:p>
        </w:tc>
        <w:tc>
          <w:tcPr>
            <w:tcW w:w="14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Shares  Amount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rPr>
              <w:t>Paid-In</w:t>
            </w:r>
          </w:p>
        </w:tc>
        <w:tc>
          <w:tcPr>
            <w:tcW w:w="1080" w:type="dxa"/>
            <w:vAlign w:val="bottom"/>
            <w:gridSpan w:val="2"/>
            <w:vMerge w:val="continue"/>
            <w:shd w:val="clear" w:color="auto" w:fill="CCEEFF"/>
          </w:tcPr>
          <w:p>
            <w:pPr>
              <w:spacing w:after="0"/>
              <w:rPr>
                <w:sz w:val="15"/>
                <w:szCs w:val="15"/>
                <w:color w:val="auto"/>
              </w:rPr>
            </w:pPr>
          </w:p>
        </w:tc>
        <w:tc>
          <w:tcPr>
            <w:tcW w:w="110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rPr>
              <w:t>Stockholders'</w:t>
            </w:r>
          </w:p>
        </w:tc>
        <w:tc>
          <w:tcPr>
            <w:tcW w:w="8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NCI (c)</w:t>
            </w:r>
          </w:p>
        </w:tc>
        <w:tc>
          <w:tcPr>
            <w:tcW w:w="0" w:type="dxa"/>
            <w:vAlign w:val="bottom"/>
          </w:tcPr>
          <w:p>
            <w:pPr>
              <w:spacing w:after="0"/>
              <w:rPr>
                <w:sz w:val="1"/>
                <w:szCs w:val="1"/>
                <w:color w:val="auto"/>
              </w:rPr>
            </w:pPr>
          </w:p>
        </w:tc>
      </w:tr>
      <w:tr>
        <w:trPr>
          <w:trHeight w:val="229"/>
        </w:trPr>
        <w:tc>
          <w:tcPr>
            <w:tcW w:w="80" w:type="dxa"/>
            <w:vAlign w:val="bottom"/>
            <w:shd w:val="clear" w:color="auto" w:fill="CCEEFF"/>
          </w:tcPr>
          <w:p>
            <w:pPr>
              <w:spacing w:after="0"/>
              <w:rPr>
                <w:sz w:val="19"/>
                <w:szCs w:val="19"/>
                <w:color w:val="auto"/>
              </w:rPr>
            </w:pPr>
          </w:p>
        </w:tc>
        <w:tc>
          <w:tcPr>
            <w:tcW w:w="140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Capital</w:t>
            </w:r>
          </w:p>
        </w:tc>
        <w:tc>
          <w:tcPr>
            <w:tcW w:w="10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(Deficit)</w:t>
            </w:r>
          </w:p>
        </w:tc>
        <w:tc>
          <w:tcPr>
            <w:tcW w:w="1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(Deficit)</w:t>
            </w: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20" w:space="20"/>
            <w:col w:w="5500"/>
          </w:cols>
          <w:pgMar w:left="320" w:top="121" w:right="339" w:bottom="1440" w:gutter="0" w:footer="0" w:header="0"/>
          <w:type w:val="continuous"/>
        </w:sectPr>
      </w:pP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2020</w:t>
            </w: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0" w:type="dxa"/>
            <w:vAlign w:val="bottom"/>
          </w:tcPr>
          <w:p>
            <w:pPr>
              <w:spacing w:after="0"/>
              <w:rPr>
                <w:sz w:val="1"/>
                <w:szCs w:val="1"/>
                <w:color w:val="auto"/>
              </w:rPr>
            </w:pPr>
          </w:p>
        </w:tc>
      </w:tr>
      <w:tr>
        <w:trPr>
          <w:trHeight w:val="229"/>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Equity-classified stock compensation</w:t>
            </w: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2020</w:t>
            </w:r>
          </w:p>
        </w:tc>
        <w:tc>
          <w:tcPr>
            <w:tcW w:w="5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67,061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(133,543)</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(131,874)</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Equity-classified stock compensation</w:t>
            </w: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 shares of common stock</w:t>
            </w: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0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Distributions to non-controlling</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interests</w:t>
            </w:r>
          </w:p>
        </w:tc>
        <w:tc>
          <w:tcPr>
            <w:tcW w:w="6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2020</w:t>
            </w: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(141,401)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0" w:type="dxa"/>
            <w:vAlign w:val="bottom"/>
          </w:tcPr>
          <w:p>
            <w:pPr>
              <w:spacing w:after="0"/>
              <w:rPr>
                <w:sz w:val="1"/>
                <w:szCs w:val="1"/>
                <w:color w:val="auto"/>
              </w:rPr>
            </w:pPr>
          </w:p>
        </w:tc>
      </w:tr>
      <w:tr>
        <w:trPr>
          <w:trHeight w:val="230"/>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Equity-based stock compensation</w:t>
            </w: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 shares of common stock</w:t>
            </w: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45,348</w:t>
            </w: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Redemption of non-controlling</w:t>
            </w:r>
          </w:p>
        </w:tc>
        <w:tc>
          <w:tcPr>
            <w:tcW w:w="62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6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Distributions to non-controlling</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(45,348)</w:t>
            </w:r>
          </w:p>
        </w:tc>
        <w:tc>
          <w:tcPr>
            <w:tcW w:w="0" w:type="dxa"/>
            <w:vAlign w:val="bottom"/>
          </w:tcPr>
          <w:p>
            <w:pPr>
              <w:spacing w:after="0"/>
              <w:rPr>
                <w:sz w:val="1"/>
                <w:szCs w:val="1"/>
                <w:color w:val="auto"/>
              </w:rPr>
            </w:pPr>
          </w:p>
        </w:tc>
      </w:tr>
      <w:tr>
        <w:trPr>
          <w:trHeight w:val="229"/>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interests</w:t>
            </w:r>
          </w:p>
        </w:tc>
        <w:tc>
          <w:tcPr>
            <w:tcW w:w="6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5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(2,388)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(101,009)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060" w:type="dxa"/>
            <w:vAlign w:val="bottom"/>
          </w:tcPr>
          <w:p>
            <w:pPr>
              <w:spacing w:after="0"/>
              <w:rPr>
                <w:sz w:val="21"/>
                <w:szCs w:val="21"/>
                <w:color w:val="auto"/>
              </w:rPr>
            </w:pPr>
          </w:p>
        </w:tc>
        <w:tc>
          <w:tcPr>
            <w:tcW w:w="13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Preferred Stock</w:t>
            </w:r>
          </w:p>
        </w:tc>
        <w:tc>
          <w:tcPr>
            <w:tcW w:w="13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shd w:val="clear" w:color="auto" w:fill="CCEEFF"/>
          </w:tcPr>
          <w:p>
            <w:pPr>
              <w:spacing w:after="0"/>
              <w:rPr>
                <w:sz w:val="21"/>
                <w:szCs w:val="21"/>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9"/>
              </w:rPr>
              <w:t>Treasury Stock (a)</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8"/>
              </w:rPr>
              <w:t>Total Priority</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0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CCEEFF"/>
            </w:tcBorders>
            <w:gridSpan w:val="3"/>
            <w:shd w:val="clear" w:color="auto" w:fill="CCEEFF"/>
          </w:tcPr>
          <w:p>
            <w:pPr>
              <w:jc w:val="center"/>
              <w:ind w:right="60"/>
              <w:spacing w:after="0" w:line="176" w:lineRule="exact"/>
              <w:rPr>
                <w:sz w:val="20"/>
                <w:szCs w:val="20"/>
                <w:color w:val="auto"/>
              </w:rPr>
            </w:pPr>
            <w:r>
              <w:rPr>
                <w:rFonts w:ascii="Times New Roman" w:cs="Times New Roman" w:eastAsia="Times New Roman" w:hAnsi="Times New Roman"/>
                <w:sz w:val="18"/>
                <w:szCs w:val="18"/>
                <w:color w:val="auto"/>
                <w:w w:val="97"/>
              </w:rPr>
              <w:t>Technology</w:t>
            </w: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9"/>
              </w:rPr>
              <w:t>Holdings,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rPr>
              <w:t>Inc.</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7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6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Paid-In</w:t>
            </w:r>
          </w:p>
        </w:tc>
        <w:tc>
          <w:tcPr>
            <w:tcW w:w="2180" w:type="dxa"/>
            <w:vAlign w:val="bottom"/>
            <w:gridSpan w:val="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Accumulated  Stockholders'</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NCI (c)</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700" w:type="dxa"/>
            <w:vAlign w:val="bottom"/>
            <w:gridSpan w:val="3"/>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(Deficit)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(Deficit)</w:t>
            </w: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306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2019</w:t>
            </w: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Equity-classified stock compensation</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 redemptions (b)</w:t>
            </w: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NCI (c)</w:t>
            </w: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2019</w:t>
            </w:r>
          </w:p>
        </w:tc>
        <w:tc>
          <w:tcPr>
            <w:tcW w:w="5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67,458</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(100,531)</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(99,304)</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Equity-classified stock compensation</w:t>
            </w: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2019</w:t>
            </w:r>
          </w:p>
        </w:tc>
        <w:tc>
          <w:tcPr>
            <w:tcW w:w="5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67,007</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(2,388)</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(114,661)</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(114,799)</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Equity-classified stock compensation</w:t>
            </w: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2019</w:t>
            </w:r>
          </w:p>
        </w:tc>
        <w:tc>
          <w:tcPr>
            <w:tcW w:w="5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ind w:left="240" w:hanging="232"/>
        <w:spacing w:after="0"/>
        <w:tabs>
          <w:tab w:leader="none" w:pos="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cost</w:t>
      </w:r>
    </w:p>
    <w:p>
      <w:pPr>
        <w:spacing w:after="0" w:line="11" w:lineRule="exact"/>
        <w:rPr>
          <w:rFonts w:ascii="Times New Roman" w:cs="Times New Roman" w:eastAsia="Times New Roman" w:hAnsi="Times New Roman"/>
          <w:sz w:val="17"/>
          <w:szCs w:val="17"/>
          <w:color w:val="auto"/>
        </w:rPr>
      </w:pPr>
    </w:p>
    <w:p>
      <w:pPr>
        <w:jc w:val="both"/>
        <w:ind w:firstLine="8"/>
        <w:spacing w:after="0" w:line="232" w:lineRule="auto"/>
        <w:tabs>
          <w:tab w:leader="none" w:pos="24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 value of the common shares issued in connection with the warrant exchange rounds to less than one dollar. </w:t>
      </w:r>
      <w:r>
        <w:rPr>
          <w:rFonts w:ascii="Times New Roman" w:cs="Times New Roman" w:eastAsia="Times New Roman" w:hAnsi="Times New Roman"/>
          <w:sz w:val="17"/>
          <w:szCs w:val="17"/>
          <w:color w:val="222222"/>
        </w:rPr>
        <w:t>In August 2018, the Company was informed by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22222"/>
        </w:rPr>
        <w:t>Nasdaq that it intended to delist the Company's outstanding warrants and units due to an insufficient number of round lot holders for the public warrants. The Company subsequently filed a Registration Statement on Form S-4 with the SEC for the purpose of offering holders of the Company's outstanding 5,310,109 public warrants and 421,107 private warrants the opportunity to exchange each warrant for 0.192 shares of the Company's common stock. The exchange offer expired in February 2019 resulting in a portion of the warrants being tendered in exchange for approximately 420,000 shares of the Company's common stock plus cash in lieu of fractional shares. Nasdaq proceeded to delist the remaining outstanding warrants and units, which were comprised of one share of common stock and one warrant, from The Nasdaq Global Market at the open of business on March 6, 2019. The delisting of the remaining outstanding warrants and units had no impact on the Company's financial statements.</w:t>
      </w:r>
    </w:p>
    <w:p>
      <w:pPr>
        <w:jc w:val="both"/>
        <w:ind w:firstLine="8"/>
        <w:spacing w:after="0" w:line="243" w:lineRule="auto"/>
        <w:tabs>
          <w:tab w:leader="none" w:pos="225" w:val="left"/>
        </w:tabs>
        <w:numPr>
          <w:ilvl w:val="0"/>
          <w:numId w:val="7"/>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 xml:space="preserve">Prior to third quarter 2020, this balance was related to the acquisition of certain assets from YapStone, Inc. by the Company's PRET subsidiary during 2019. As part of the consideration for the assets acquired from YapStone, Inc. by PRET, YapStone, Inc. was issued a NCI in PRET with an initial estimated fair value and carrying value of $5,654,000. See Note 4, </w:t>
      </w:r>
      <w:r>
        <w:rPr>
          <w:rFonts w:ascii="Times New Roman" w:cs="Times New Roman" w:eastAsia="Times New Roman" w:hAnsi="Times New Roman"/>
          <w:sz w:val="17"/>
          <w:szCs w:val="17"/>
          <w:i w:val="1"/>
          <w:iCs w:val="1"/>
          <w:color w:val="222222"/>
        </w:rPr>
        <w:t>Non-Controlling Interests</w:t>
      </w:r>
      <w:r>
        <w:rPr>
          <w:rFonts w:ascii="Times New Roman" w:cs="Times New Roman" w:eastAsia="Times New Roman" w:hAnsi="Times New Roman"/>
          <w:sz w:val="17"/>
          <w:szCs w:val="17"/>
          <w:color w:val="222222"/>
        </w:rPr>
        <w:t xml:space="preserve">. For all reporting periods since PRET's inception through June 30, 2020, no earnings or losses were attributable to the NCIs of PRET. During the three months ended September 30, 2020, a gain on a sale of assets from PRET (see Note 2, </w:t>
      </w:r>
      <w:r>
        <w:rPr>
          <w:rFonts w:ascii="Times New Roman" w:cs="Times New Roman" w:eastAsia="Times New Roman" w:hAnsi="Times New Roman"/>
          <w:sz w:val="17"/>
          <w:szCs w:val="17"/>
          <w:i w:val="1"/>
          <w:iCs w:val="1"/>
          <w:color w:val="222222"/>
        </w:rPr>
        <w:t>Sale of Business</w:t>
      </w:r>
      <w:r>
        <w:rPr>
          <w:rFonts w:ascii="Times New Roman" w:cs="Times New Roman" w:eastAsia="Times New Roman" w:hAnsi="Times New Roman"/>
          <w:sz w:val="17"/>
          <w:szCs w:val="17"/>
          <w:color w:val="222222"/>
        </w:rPr>
        <w:t xml:space="preserve">) resulted in the attribution of a total of </w:t>
      </w:r>
      <w:r>
        <w:rPr>
          <w:rFonts w:ascii="Times New Roman" w:cs="Times New Roman" w:eastAsia="Times New Roman" w:hAnsi="Times New Roman"/>
          <w:sz w:val="17"/>
          <w:szCs w:val="17"/>
          <w:color w:val="000000"/>
        </w:rPr>
        <w:t>$45.1 million to the NCIs of PRET. This amount was also distributed in a final redemption of the NCIs' interests in PRET during the</w:t>
      </w:r>
      <w:r>
        <w:rPr>
          <w:rFonts w:ascii="Times New Roman" w:cs="Times New Roman" w:eastAsia="Times New Roman" w:hAnsi="Times New Roman"/>
          <w:sz w:val="17"/>
          <w:szCs w:val="17"/>
          <w:color w:val="222222"/>
        </w:rPr>
        <w:t xml:space="preserve"> </w:t>
      </w:r>
      <w:r>
        <w:rPr>
          <w:rFonts w:ascii="Times New Roman" w:cs="Times New Roman" w:eastAsia="Times New Roman" w:hAnsi="Times New Roman"/>
          <w:sz w:val="17"/>
          <w:szCs w:val="17"/>
          <w:color w:val="000000"/>
        </w:rPr>
        <w:t>three months ended September 30, 2020.</w:t>
      </w:r>
    </w:p>
    <w:p>
      <w:pPr>
        <w:spacing w:after="0" w:line="22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2020, a total of $200,000 of PHOT's earnings were attributable to the NCIs of PHOT. See Note 12, </w:t>
      </w:r>
      <w:r>
        <w:rPr>
          <w:rFonts w:ascii="Times New Roman" w:cs="Times New Roman" w:eastAsia="Times New Roman" w:hAnsi="Times New Roman"/>
          <w:sz w:val="18"/>
          <w:szCs w:val="18"/>
          <w:i w:val="1"/>
          <w:iCs w:val="1"/>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Party Transactions</w:t>
      </w:r>
      <w:r>
        <w:rPr>
          <w:rFonts w:ascii="Times New Roman" w:cs="Times New Roman" w:eastAsia="Times New Roman" w:hAnsi="Times New Roman"/>
          <w:sz w:val="18"/>
          <w:szCs w:val="18"/>
          <w:color w:val="auto"/>
        </w:rPr>
        <w:t>. This amount was also distributed in cash to the NCIs of PHOT during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included in Salary and employee benefits in the accompanying unaudited condensed consolidated statements of operations. The Company recognizes the effects of forfeitures on compensation expense as the forfeitures occur.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recognized for equity-classified stock compensation by plan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shd w:val="clear" w:color="auto" w:fill="CCEEFF"/>
          </w:tcPr>
          <w:p>
            <w:pPr>
              <w:spacing w:after="0"/>
              <w:rPr>
                <w:sz w:val="19"/>
                <w:szCs w:val="19"/>
                <w:color w:val="auto"/>
              </w:rPr>
            </w:pPr>
          </w:p>
        </w:tc>
        <w:tc>
          <w:tcPr>
            <w:tcW w:w="324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shd w:val="clear" w:color="auto" w:fill="CCEEFF"/>
          </w:tcPr>
          <w:p>
            <w:pPr>
              <w:spacing w:after="0"/>
              <w:rPr>
                <w:sz w:val="19"/>
                <w:szCs w:val="19"/>
                <w:color w:val="auto"/>
              </w:rPr>
            </w:pPr>
          </w:p>
        </w:tc>
        <w:tc>
          <w:tcPr>
            <w:tcW w:w="2920" w:type="dxa"/>
            <w:vAlign w:val="bottom"/>
            <w:gridSpan w:val="4"/>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00" w:type="dxa"/>
            <w:vAlign w:val="bottom"/>
            <w:tcBorders>
              <w:bottom w:val="single" w:sz="8" w:color="CCEEFF"/>
            </w:tcBorders>
          </w:tcPr>
          <w:p>
            <w:pPr>
              <w:spacing w:after="0"/>
              <w:rPr>
                <w:sz w:val="19"/>
                <w:szCs w:val="19"/>
                <w:color w:val="auto"/>
              </w:rPr>
            </w:pPr>
          </w:p>
        </w:tc>
        <w:tc>
          <w:tcPr>
            <w:tcW w:w="44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88"/>
        </w:trPr>
        <w:tc>
          <w:tcPr>
            <w:tcW w:w="400" w:type="dxa"/>
            <w:vAlign w:val="bottom"/>
            <w:shd w:val="clear" w:color="auto" w:fill="CCEEFF"/>
          </w:tcPr>
          <w:p>
            <w:pPr>
              <w:spacing w:after="0"/>
              <w:rPr>
                <w:sz w:val="7"/>
                <w:szCs w:val="7"/>
                <w:color w:val="auto"/>
              </w:rPr>
            </w:pPr>
          </w:p>
        </w:tc>
        <w:tc>
          <w:tcPr>
            <w:tcW w:w="4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2018</w:t>
            </w:r>
          </w:p>
        </w:tc>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Incentive Plan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2014</w:t>
            </w:r>
          </w:p>
        </w:tc>
        <w:tc>
          <w:tcPr>
            <w:tcW w:w="4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Management Incentive Plan</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r>
      <w:tr>
        <w:trPr>
          <w:trHeight w:val="223"/>
        </w:trPr>
        <w:tc>
          <w:tcPr>
            <w:tcW w:w="4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w:t>
            </w:r>
          </w:p>
        </w:tc>
      </w:tr>
      <w:tr>
        <w:trPr>
          <w:trHeight w:val="21"/>
        </w:trPr>
        <w:tc>
          <w:tcPr>
            <w:tcW w:w="4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recognized compensation expense of $102,000 and $210,000 during the three months and nine months ended September 30, 2020, respectively, related to liability-classified stock compensation under the 2018 Equity Incentive Plan whereby the service inception date preceded the future grant-date.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benefit for stock-based compensation was not material for the three months and nine months ended September 30, 2020 and September 30, 2019.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estimated fair value of remaining contingent consideration related to two business combinations were each based on a weighted payout probability for the contingent consideration at the original measurement date and each subsequent remeasurement date, which fall within Level 3 on the fair value hierarchy since these recurring fair value measurements are based on significant unobservable inputs. The probabilities used to estimate the payout probability of the contingent consideration for the two business combinations ranged between 15% and 35% for one and between 5% and 80% for the other. The estimated weighted-average probability for payment of the contingent consideration was 21% for one and 70% for the other at September 30, 2020 and December 31, 2019, and 26% and 70%, respectively, at September 30, 2019. These weighted average probabilities are based on present value of estimated projections for financial metrics for the remaining earnout periods.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2020, the remaining maximum amounts of contingent consideration for these two business combinations were $500,000 for one and $250,000 for the other, and the measured fair values were $170,000 and $190,000, respectively. These fair value estimates did not change during the three months and nine months ended September 30, 2020 and September 30, 2019.</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transfers among the fair value levels during the three months and nine months ended September 30, 2020 and September 30, 2019. There were no unrealized gains or losses included in other comprehensive income for any reporting period, therefore there were no changes in unrealized gains and losses for any reporting period included in other comprehensive income for recurring Level 3 fair value measurements.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Disclosures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Notes receivable are carried at amortized cost. Substantially all of the Company's notes receivable are secured, and the Company believes that all of its notes receivable are collectible. The fair value of the Company's notes receivable at September 30, 2020 and December 31, 2019 was approximately $6.1 million and $5.7 million, respectively. On the fair value hierarchy, Level 3 inputs are used to estimate the fair value of these notes receivable.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Obligations</w:t>
      </w:r>
    </w:p>
    <w:p>
      <w:pPr>
        <w:spacing w:after="0" w:line="2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Borrower's outstanding debt obligations (see Note 9, </w:t>
      </w:r>
      <w:r>
        <w:rPr>
          <w:rFonts w:ascii="Times New Roman" w:cs="Times New Roman" w:eastAsia="Times New Roman" w:hAnsi="Times New Roman"/>
          <w:sz w:val="18"/>
          <w:szCs w:val="18"/>
          <w:i w:val="1"/>
          <w:iCs w:val="1"/>
          <w:color w:val="auto"/>
        </w:rPr>
        <w:t>Debt Obligations</w:t>
      </w:r>
      <w:r>
        <w:rPr>
          <w:rFonts w:ascii="Times New Roman" w:cs="Times New Roman" w:eastAsia="Times New Roman" w:hAnsi="Times New Roman"/>
          <w:sz w:val="18"/>
          <w:szCs w:val="18"/>
          <w:color w:val="auto"/>
        </w:rPr>
        <w:t>) are reflected in the Company's consolidated balance sheets at carrying value since the Company did not elect to remeasure debt obligations to fair value at the end of each reporting period.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The fair value of the term loan facility under the Borrowers' Senior Credit Agreement at September 30, 2020 and December 31, 2019 was estimated to be approximately $273 million and $381 million, respectively. The fair value of these notes with a notional value and carrying value (gross of deferred costs and discounts) of $280.4 million and $388.8 million, respectively, was estimated using binding and non-binding quoted prices in an active secondary market, which considers the Borrowers' credit risk and market related conditions, and is within Level 3 of the fair value hierarchy.</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the Borrowers' other long-term debt obligations approximate fair value due to mechanisms in the credit agreements that adjust the applicable interest rates and the lack of a market for these debt obligations.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2020, the Company has three reportable segments that are reviewed by the Company's chief operating decision maker ("CODM"), who is the Company's Chief Executive Officer and Chairman. The Consumer Payments operating segment and the Integrated Partners operating segments are each reported as separate reportable segments. The Commercial Payments and Institutional Services (sometimes referred to as Managed Services) operating segments are aggregated into one reportable segment, Commercial Payments.</w:t>
      </w:r>
    </w:p>
    <w:p>
      <w:pPr>
        <w:spacing w:after="0" w:line="205" w:lineRule="exact"/>
        <w:rPr>
          <w:sz w:val="20"/>
          <w:szCs w:val="20"/>
          <w:color w:val="auto"/>
        </w:rPr>
      </w:pPr>
    </w:p>
    <w:p>
      <w:pPr>
        <w:jc w:val="both"/>
        <w:ind w:left="660" w:hanging="328"/>
        <w:spacing w:after="0" w:line="257"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Consumer Payments – </w:t>
      </w:r>
      <w:r>
        <w:rPr>
          <w:rFonts w:ascii="Times New Roman" w:cs="Times New Roman" w:eastAsia="Times New Roman" w:hAnsi="Times New Roman"/>
          <w:sz w:val="18"/>
          <w:szCs w:val="18"/>
          <w:color w:val="auto"/>
        </w:rPr>
        <w:t>represents consumer-related services and offerings including merchant acquiring and transaction processing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proprietary MX enterprise suite. Either through acquisition of merchant portfolios or through resellers, the Company becomes a party or enters into contracts with a merchant and a sponsor bank. Pursuant to the contracts, for each card transaction, the sponsor bank collects payment from the credit, debit or other payment card issuing bank, net of interchange fees due to the issuing bank, pays credit card association (e.g., Visa, MasterCard) assessments and pays the transaction fee due to the Company for the suite of processing and related services it provides to merchants, with the remainder going to the merchant.</w:t>
      </w:r>
    </w:p>
    <w:p>
      <w:pPr>
        <w:spacing w:after="0" w:line="209"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Commercial Payments – </w:t>
      </w:r>
      <w:r>
        <w:rPr>
          <w:rFonts w:ascii="Times New Roman" w:cs="Times New Roman" w:eastAsia="Times New Roman" w:hAnsi="Times New Roman"/>
          <w:sz w:val="18"/>
          <w:szCs w:val="18"/>
          <w:color w:val="auto"/>
        </w:rPr>
        <w:t>represents services provided to certain enterprise customers, including outsourced sales force to those customers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payable automation services to commercial customers.</w:t>
      </w:r>
    </w:p>
    <w:p>
      <w:pPr>
        <w:spacing w:after="0" w:line="185"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Integrated Partners – </w:t>
      </w:r>
      <w:r>
        <w:rPr>
          <w:rFonts w:ascii="Times New Roman" w:cs="Times New Roman" w:eastAsia="Times New Roman" w:hAnsi="Times New Roman"/>
          <w:sz w:val="18"/>
          <w:szCs w:val="18"/>
          <w:color w:val="auto"/>
        </w:rPr>
        <w:t>represents payment adjacent services that are provided primarily to the health care, real estate, and hospitality industries.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September 2020, the Company sold a substantial portion of the assets of this segment. See Note 2, </w:t>
      </w:r>
      <w:r>
        <w:rPr>
          <w:rFonts w:ascii="Times New Roman" w:cs="Times New Roman" w:eastAsia="Times New Roman" w:hAnsi="Times New Roman"/>
          <w:sz w:val="18"/>
          <w:szCs w:val="18"/>
          <w:i w:val="1"/>
          <w:iCs w:val="1"/>
          <w:color w:val="auto"/>
        </w:rPr>
        <w:t>Sale of Business</w:t>
      </w:r>
      <w:r>
        <w:rPr>
          <w:rFonts w:ascii="Times New Roman" w:cs="Times New Roman" w:eastAsia="Times New Roman" w:hAnsi="Times New Roman"/>
          <w:sz w:val="18"/>
          <w:szCs w:val="18"/>
          <w:color w:val="auto"/>
        </w:rPr>
        <w:t xml:space="preserve">, and Note 6, </w:t>
      </w:r>
      <w:r>
        <w:rPr>
          <w:rFonts w:ascii="Times New Roman" w:cs="Times New Roman" w:eastAsia="Times New Roman" w:hAnsi="Times New Roman"/>
          <w:sz w:val="18"/>
          <w:szCs w:val="18"/>
          <w:i w:val="1"/>
          <w:iCs w:val="1"/>
          <w:color w:val="auto"/>
        </w:rPr>
        <w:t>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Intangible Assets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includes costs of corporate functions and shared services not allocated to our reportable segments.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second quarter of 2019, the Integrated Partners operating segment was aggregated with the Commercial Payments and Institutional Services operating segments and reported as one aggregated reportable segment. In the second quarter of 2019, the Integrated Partners operating segment was no longer aggregated with the Commercial Payments and Institutional Services operating segments. All comparative periods have been adjusted to reflect the current three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on reportable segments and reconciliations to consolidated revenue, consolidated income from operations, and consolidated depreciation and amortization are as follows for the periods presented: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shd w:val="clear" w:color="auto" w:fill="CCEEFF"/>
          </w:tcPr>
          <w:p>
            <w:pPr>
              <w:spacing w:after="0"/>
              <w:rPr>
                <w:sz w:val="19"/>
                <w:szCs w:val="19"/>
                <w:color w:val="auto"/>
              </w:rPr>
            </w:pPr>
          </w:p>
        </w:tc>
        <w:tc>
          <w:tcPr>
            <w:tcW w:w="2880" w:type="dxa"/>
            <w:vAlign w:val="bottom"/>
            <w:gridSpan w:val="5"/>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shd w:val="clear" w:color="auto" w:fill="CCEEFF"/>
          </w:tcPr>
          <w:p>
            <w:pPr>
              <w:spacing w:after="0"/>
              <w:rPr>
                <w:sz w:val="19"/>
                <w:szCs w:val="19"/>
                <w:color w:val="auto"/>
              </w:rPr>
            </w:pPr>
          </w:p>
        </w:tc>
        <w:tc>
          <w:tcPr>
            <w:tcW w:w="3040" w:type="dxa"/>
            <w:vAlign w:val="bottom"/>
            <w:gridSpan w:val="4"/>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9"/>
        </w:trPr>
        <w:tc>
          <w:tcPr>
            <w:tcW w:w="46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0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Payments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267,039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243,205</w:t>
            </w: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Payments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19,492</w:t>
            </w: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Integrated Partners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10,974</w:t>
            </w:r>
          </w:p>
        </w:tc>
      </w:tr>
      <w:tr>
        <w:trPr>
          <w:trHeight w:val="223"/>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Revenue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108,962</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298,251</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273,671</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4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Payments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22,296</w:t>
            </w: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Payments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Integrated Partners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r>
      <w:tr>
        <w:trPr>
          <w:trHeight w:val="229"/>
        </w:trPr>
        <w:tc>
          <w:tcPr>
            <w:tcW w:w="4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(16,396)</w:t>
            </w:r>
          </w:p>
        </w:tc>
      </w:tr>
      <w:tr>
        <w:trPr>
          <w:trHeight w:val="248"/>
        </w:trPr>
        <w:tc>
          <w:tcPr>
            <w:tcW w:w="4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income from operations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Payments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25,721</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24,215</w:t>
            </w: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Payments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Integrated Partners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23"/>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depreciation and amortization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30,886</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28,763</w:t>
            </w:r>
          </w:p>
        </w:tc>
      </w:tr>
      <w:tr>
        <w:trPr>
          <w:trHeight w:val="20"/>
        </w:trPr>
        <w:tc>
          <w:tcPr>
            <w:tcW w:w="4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total income (loss) from operations of reportable segments to the net income (loss) is provided in the following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shd w:val="clear" w:color="auto" w:fill="CCEEFF"/>
          </w:tcPr>
          <w:p>
            <w:pPr>
              <w:spacing w:after="0"/>
              <w:rPr>
                <w:sz w:val="19"/>
                <w:szCs w:val="19"/>
                <w:color w:val="auto"/>
              </w:rPr>
            </w:pPr>
          </w:p>
        </w:tc>
        <w:tc>
          <w:tcPr>
            <w:tcW w:w="280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shd w:val="clear" w:color="auto" w:fill="CCEEFF"/>
          </w:tcPr>
          <w:p>
            <w:pPr>
              <w:spacing w:after="0"/>
              <w:rPr>
                <w:sz w:val="19"/>
                <w:szCs w:val="19"/>
                <w:color w:val="auto"/>
              </w:rPr>
            </w:pPr>
          </w:p>
        </w:tc>
        <w:tc>
          <w:tcPr>
            <w:tcW w:w="2680" w:type="dxa"/>
            <w:vAlign w:val="bottom"/>
            <w:gridSpan w:val="4"/>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from operations of reportable segments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22,523</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(16,396)</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(30,602)</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modification and extinguishment costs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85,740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(26,420)</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512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Net income (loss) attributable to stockholders of Priority</w:t>
            </w:r>
          </w:p>
        </w:tc>
        <w:tc>
          <w:tcPr>
            <w:tcW w:w="32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40,392</w:t>
            </w:r>
          </w:p>
        </w:tc>
        <w:tc>
          <w:tcPr>
            <w:tcW w:w="100" w:type="dxa"/>
            <w:vAlign w:val="bottom"/>
          </w:tcPr>
          <w:p>
            <w:pPr>
              <w:spacing w:after="0"/>
              <w:rPr>
                <w:sz w:val="13"/>
                <w:szCs w:val="13"/>
                <w:color w:val="auto"/>
              </w:rPr>
            </w:pPr>
          </w:p>
        </w:tc>
        <w:tc>
          <w:tcPr>
            <w:tcW w:w="520" w:type="dxa"/>
            <w:vAlign w:val="bottom"/>
            <w:tcBorders>
              <w:top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6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26,665</w:t>
            </w:r>
          </w:p>
        </w:tc>
        <w:tc>
          <w:tcPr>
            <w:tcW w:w="120" w:type="dxa"/>
            <w:vAlign w:val="bottom"/>
          </w:tcPr>
          <w:p>
            <w:pPr>
              <w:spacing w:after="0"/>
              <w:rPr>
                <w:sz w:val="13"/>
                <w:szCs w:val="13"/>
                <w:color w:val="auto"/>
              </w:rPr>
            </w:pPr>
          </w:p>
        </w:tc>
        <w:tc>
          <w:tcPr>
            <w:tcW w:w="520" w:type="dxa"/>
            <w:vAlign w:val="bottom"/>
            <w:tcBorders>
              <w:top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(26,420)</w:t>
            </w:r>
          </w:p>
        </w:tc>
        <w:tc>
          <w:tcPr>
            <w:tcW w:w="0" w:type="dxa"/>
            <w:vAlign w:val="bottom"/>
          </w:tcPr>
          <w:p>
            <w:pPr>
              <w:spacing w:after="0"/>
              <w:rPr>
                <w:sz w:val="1"/>
                <w:szCs w:val="1"/>
                <w:color w:val="auto"/>
              </w:rPr>
            </w:pPr>
          </w:p>
        </w:tc>
      </w:tr>
      <w:tr>
        <w:trPr>
          <w:trHeight w:val="208"/>
        </w:trPr>
        <w:tc>
          <w:tcPr>
            <w:tcW w:w="512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Technology Holdings, Inc.</w:t>
            </w:r>
          </w:p>
        </w:tc>
        <w:tc>
          <w:tcPr>
            <w:tcW w:w="32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revenue is generated in the United States.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 xml:space="preserve">For the three months and nine months </w:t>
      </w:r>
      <w:r>
        <w:rPr>
          <w:rFonts w:ascii="Times New Roman" w:cs="Times New Roman" w:eastAsia="Times New Roman" w:hAnsi="Times New Roman"/>
          <w:sz w:val="18"/>
          <w:szCs w:val="18"/>
          <w:color w:val="000000"/>
        </w:rPr>
        <w:t>ended September 30, 2020 and September 30, 2019</w:t>
      </w:r>
      <w:r>
        <w:rPr>
          <w:rFonts w:ascii="Times New Roman" w:cs="Times New Roman" w:eastAsia="Times New Roman" w:hAnsi="Times New Roman"/>
          <w:sz w:val="18"/>
          <w:szCs w:val="18"/>
          <w:color w:val="212529"/>
        </w:rPr>
        <w:t>, no one merchant customer accounted for 10% or more of the Company's consolidated revenues. Most of the Company's merchant customers were referred to the Company by an ISO or other referral partners. If the Company's agreement with an ISO allows the ISO to have merchant portability rights, the ISO can potentially move the underlying merchant relationships to another merchant acquirer upon notice to the Company and completion of a "wind down" period. Merchants referred by one ISO organization with potential merchant portability rights generated revenue within the Company's Consumer Payments reportable segment that represented approximately 21% and 20.8% of the Company's consolidated revenues for the three months and nine months ended September 30, 2020, respectively, and 18.4% and 17.9% for the three months and nine months ended September 30, 2019, respectively.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(LOSS) PER COMMON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computation of the Company's basic and diluted income (loss) per common share: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320" w:type="dxa"/>
            <w:vAlign w:val="bottom"/>
            <w:shd w:val="clear" w:color="auto" w:fill="CCEEFF"/>
          </w:tcPr>
          <w:p>
            <w:pPr>
              <w:spacing w:after="0"/>
              <w:rPr>
                <w:sz w:val="19"/>
                <w:szCs w:val="19"/>
                <w:color w:val="auto"/>
              </w:rPr>
            </w:pPr>
          </w:p>
        </w:tc>
        <w:tc>
          <w:tcPr>
            <w:tcW w:w="276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shd w:val="clear" w:color="auto" w:fill="CCEEFF"/>
          </w:tcPr>
          <w:p>
            <w:pPr>
              <w:spacing w:after="0"/>
              <w:rPr>
                <w:sz w:val="19"/>
                <w:szCs w:val="19"/>
                <w:color w:val="auto"/>
              </w:rPr>
            </w:pPr>
          </w:p>
        </w:tc>
        <w:tc>
          <w:tcPr>
            <w:tcW w:w="2760" w:type="dxa"/>
            <w:vAlign w:val="bottom"/>
            <w:gridSpan w:val="4"/>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(26,420)</w:t>
            </w: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Earnings attributable to non-controlling interests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50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(loss) attributable to common stock holders of</w:t>
            </w:r>
          </w:p>
        </w:tc>
        <w:tc>
          <w:tcPr>
            <w:tcW w:w="32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40,392</w:t>
            </w:r>
          </w:p>
        </w:tc>
        <w:tc>
          <w:tcPr>
            <w:tcW w:w="1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(5,844)</w:t>
            </w: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26,665</w:t>
            </w: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(26,420)</w:t>
            </w:r>
          </w:p>
        </w:tc>
        <w:tc>
          <w:tcPr>
            <w:tcW w:w="0" w:type="dxa"/>
            <w:vAlign w:val="bottom"/>
          </w:tcPr>
          <w:p>
            <w:pPr>
              <w:spacing w:after="0"/>
              <w:rPr>
                <w:sz w:val="1"/>
                <w:szCs w:val="1"/>
                <w:color w:val="auto"/>
              </w:rPr>
            </w:pPr>
          </w:p>
        </w:tc>
      </w:tr>
      <w:tr>
        <w:trPr>
          <w:trHeight w:val="222"/>
        </w:trPr>
        <w:tc>
          <w:tcPr>
            <w:tcW w:w="506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Priority Technology Holdings, Inc.</w:t>
            </w: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common stock shares outstanding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67,114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67,109</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common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Fully Diluted: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common stock shares outstanding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67,114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67,109</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dilutive common stock equivalents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50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Weighted-average common shares for fully-diluted earnings (loss)</w:t>
            </w: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67,286</w:t>
            </w:r>
          </w:p>
        </w:tc>
        <w:tc>
          <w:tcPr>
            <w:tcW w:w="12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67,007</w:t>
            </w: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67,131</w:t>
            </w:r>
          </w:p>
        </w:tc>
        <w:tc>
          <w:tcPr>
            <w:tcW w:w="10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67,109</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 share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50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Fully-diluted earnings (loss) per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0.60</w:t>
            </w:r>
          </w:p>
        </w:tc>
        <w:tc>
          <w:tcPr>
            <w:tcW w:w="12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c>
          <w:tcPr>
            <w:tcW w:w="1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(0.39)</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Potentially anti-dilutive securities that were excluded from earnings per share for the three months and nine months ended September 30, 2020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that could be dilutive in future periods were as follows: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40" w:type="dxa"/>
            <w:vAlign w:val="bottom"/>
            <w:tcBorders>
              <w:bottom w:val="single" w:sz="8" w:color="auto"/>
            </w:tcBorders>
            <w:gridSpan w:val="3"/>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Common Stock Equivalents at</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7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0" w:type="dxa"/>
            <w:vAlign w:val="bottom"/>
          </w:tcPr>
          <w:p>
            <w:pPr>
              <w:spacing w:after="0"/>
              <w:rPr>
                <w:sz w:val="1"/>
                <w:szCs w:val="1"/>
                <w:color w:val="auto"/>
              </w:rPr>
            </w:pPr>
          </w:p>
        </w:tc>
      </w:tr>
      <w:tr>
        <w:trPr>
          <w:trHeight w:val="142"/>
        </w:trPr>
        <w:tc>
          <w:tcPr>
            <w:tcW w:w="220" w:type="dxa"/>
            <w:vAlign w:val="bottom"/>
            <w:tcBorders>
              <w:top w:val="single" w:sz="8" w:color="CCEEFF"/>
            </w:tcBorders>
            <w:shd w:val="clear" w:color="auto" w:fill="CCEEFF"/>
          </w:tcPr>
          <w:p>
            <w:pPr>
              <w:spacing w:after="0"/>
              <w:rPr>
                <w:sz w:val="12"/>
                <w:szCs w:val="12"/>
                <w:color w:val="auto"/>
              </w:rPr>
            </w:pPr>
          </w:p>
        </w:tc>
        <w:tc>
          <w:tcPr>
            <w:tcW w:w="7380" w:type="dxa"/>
            <w:vAlign w:val="bottom"/>
            <w:tcBorders>
              <w:top w:val="single" w:sz="8" w:color="CCEEFF"/>
            </w:tcBorders>
            <w:shd w:val="clear" w:color="auto" w:fill="CCEEFF"/>
          </w:tcPr>
          <w:p>
            <w:pPr>
              <w:spacing w:after="0"/>
              <w:rPr>
                <w:sz w:val="12"/>
                <w:szCs w:val="12"/>
                <w:color w:val="auto"/>
              </w:rPr>
            </w:pPr>
          </w:p>
        </w:tc>
        <w:tc>
          <w:tcPr>
            <w:tcW w:w="1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warrants on common stock (1)</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and warrants issued to adviser (1)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 awards (2)</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 awards (2)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Liability-based restricted stock units (2)</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granted under the Earnout Incentive Plan (3)</w:t>
            </w: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Earnout incentive awards under the Earnout Incentive Plan (3)</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9,705</w:t>
            </w:r>
          </w:p>
        </w:tc>
        <w:tc>
          <w:tcPr>
            <w:tcW w:w="0" w:type="dxa"/>
            <w:vAlign w:val="bottom"/>
          </w:tcPr>
          <w:p>
            <w:pPr>
              <w:spacing w:after="0"/>
              <w:rPr>
                <w:sz w:val="1"/>
                <w:szCs w:val="1"/>
                <w:color w:val="auto"/>
              </w:rPr>
            </w:pPr>
          </w:p>
        </w:tc>
      </w:tr>
      <w:tr>
        <w:trPr>
          <w:trHeight w:val="248"/>
        </w:trPr>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7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15,953</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w w:val="95"/>
              </w:rPr>
              <w:t>(1)</w:t>
            </w:r>
          </w:p>
        </w:tc>
        <w:tc>
          <w:tcPr>
            <w:tcW w:w="73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Issued by M.I. Acquisitions, Inc. prior to July 25, 2018</w:t>
            </w: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220" w:type="dxa"/>
            <w:vAlign w:val="bottom"/>
            <w:vMerge w:val="continue"/>
          </w:tcPr>
          <w:p>
            <w:pPr>
              <w:spacing w:after="0"/>
              <w:rPr>
                <w:sz w:val="24"/>
                <w:szCs w:val="24"/>
                <w:color w:val="auto"/>
              </w:rPr>
            </w:pPr>
          </w:p>
        </w:tc>
        <w:tc>
          <w:tcPr>
            <w:tcW w:w="738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95"/>
              </w:rPr>
              <w:t>(2)</w:t>
            </w:r>
          </w:p>
        </w:tc>
        <w:tc>
          <w:tcPr>
            <w:tcW w:w="7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 under the 2018 Equity Incentive Plan</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95"/>
              </w:rPr>
              <w:t>(3)</w:t>
            </w:r>
          </w:p>
        </w:tc>
        <w:tc>
          <w:tcPr>
            <w:tcW w:w="7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 expired December 31, 2019 with no shares issued</w:t>
            </w: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audited consolidated financial statements and related notes for the years ended December 31, 2019, 2018 and 2017 and the section entitled "Management's Discussion and Analysis of Financial Condition and Results of Operations," included in the Company's Annual Report on Form 10-K filed with the U.S. Securities and Exchange Commission on March 30, 2020 (the "Annual Report").</w:t>
      </w:r>
    </w:p>
    <w:p>
      <w:pPr>
        <w:spacing w:after="0" w:line="200" w:lineRule="exact"/>
        <w:rPr>
          <w:sz w:val="20"/>
          <w:szCs w:val="20"/>
          <w:color w:val="auto"/>
        </w:rPr>
      </w:pPr>
    </w:p>
    <w:p>
      <w:pPr>
        <w:spacing w:after="0" w:line="2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the statements made in this Quarterly Report on Form 10-Q constitute forward-looking statements within the meaning of the federal securities laws. Such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 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Quarterly Report on Form 10-Q include, but are not limited to, statements about:</w:t>
      </w:r>
    </w:p>
    <w:p>
      <w:pPr>
        <w:spacing w:after="0" w:line="21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payment processing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distribution partners;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disclosures of merchant or cardholder data, whether through breach of our computer systems, computer viruses, or otherwise;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breakdowns in our processing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regulation of consumer information;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third-party vendors;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card association and debit network fees or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the rules established by payment networks or standards established by third-party processor;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proposed acquisitions or any risks associated with completed acquisitions;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set forth in the "Item 1A - Risk Factors" included in this Quarterly Report or our Annual Report.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Quarterly Report on Form 10-Q.</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that may cause our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relevant information. These statements are inherently uncertain, and investors are cautioned not to unduly rely upon these statements.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should read this Quarterly Report on Form 10-Q with the understanding that our actual future results, levels of activity, performance and achievements may be materially different from what we expect. We qualify all of our forward-looking statements by these cautionary statements.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Terms Used in this Quarterly Report on Form 10-Q</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 unless the context otherwise requires, references to the terms "Company," "we," "us" and "our" refer to Priority Technology Holdings,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section includes a discussion and analysis of our results of operations for the three months ended September 30, 2020 (or third quarter 2020) compared to the three months ended September 30, 2019 (or third quarter 2019), and the nine months ended September 30, 2020 (or 2020 period) compared to the nine months ended September 30, 2019 (or 2019 period). We have derived this data, except key indicators for merchant bankcard processing dollar values and transaction volumes, from our unaudited condensed consolidated financial statements included elsewhere in this Quarterly Report on Form 10-Q and our audited consolidated financial statements included in our latest Annual Report on Form 10-K.</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2020 Compared to the Three Months Ended September 30, 2019</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40" w:type="dxa"/>
            <w:vAlign w:val="bottom"/>
            <w:shd w:val="clear" w:color="auto" w:fill="CCEEFF"/>
          </w:tcPr>
          <w:p>
            <w:pPr>
              <w:spacing w:after="0"/>
              <w:rPr>
                <w:sz w:val="19"/>
                <w:szCs w:val="19"/>
                <w:color w:val="auto"/>
              </w:rPr>
            </w:pPr>
          </w:p>
        </w:tc>
        <w:tc>
          <w:tcPr>
            <w:tcW w:w="344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88"/>
        </w:trPr>
        <w:tc>
          <w:tcPr>
            <w:tcW w:w="4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108,962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15,079</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Costs of services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74,971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Salary and employee benefits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10,762</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158.4 %</w:t>
            </w: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extinguishment costs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107,239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income (expenses), net</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92,435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102,740</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42"/>
        </w:trPr>
        <w:tc>
          <w:tcPr>
            <w:tcW w:w="4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107,057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85,740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91,584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49"/>
        </w:trPr>
        <w:tc>
          <w:tcPr>
            <w:tcW w:w="4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88"/>
        </w:trPr>
        <w:tc>
          <w:tcPr>
            <w:tcW w:w="468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14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3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11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3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Net income (loss) attributable to stockholders of Priority</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40,392</w:t>
            </w:r>
          </w:p>
        </w:tc>
        <w:tc>
          <w:tcPr>
            <w:tcW w:w="120" w:type="dxa"/>
            <w:vAlign w:val="bottom"/>
          </w:tcPr>
          <w:p>
            <w:pPr>
              <w:spacing w:after="0"/>
              <w:rPr>
                <w:sz w:val="15"/>
                <w:szCs w:val="15"/>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(5,844)</w:t>
            </w:r>
          </w:p>
        </w:tc>
        <w:tc>
          <w:tcPr>
            <w:tcW w:w="12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46,236</w:t>
            </w:r>
          </w:p>
        </w:tc>
        <w:tc>
          <w:tcPr>
            <w:tcW w:w="1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08"/>
        </w:trPr>
        <w:tc>
          <w:tcPr>
            <w:tcW w:w="46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Technology Holdings, Inc.</w:t>
            </w:r>
          </w:p>
        </w:tc>
        <w:tc>
          <w:tcPr>
            <w:tcW w:w="240" w:type="dxa"/>
            <w:vAlign w:val="bottom"/>
            <w:tcBorders>
              <w:bottom w:val="single" w:sz="8" w:color="auto"/>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2020 Compared to the Nine Months Ended September 30, 2019</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80" w:type="dxa"/>
            <w:vAlign w:val="bottom"/>
            <w:shd w:val="clear" w:color="auto" w:fill="CCEEFF"/>
          </w:tcPr>
          <w:p>
            <w:pPr>
              <w:spacing w:after="0"/>
              <w:rPr>
                <w:sz w:val="19"/>
                <w:szCs w:val="19"/>
                <w:color w:val="auto"/>
              </w:rPr>
            </w:pPr>
          </w:p>
        </w:tc>
        <w:tc>
          <w:tcPr>
            <w:tcW w:w="340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88"/>
        </w:trPr>
        <w:tc>
          <w:tcPr>
            <w:tcW w:w="46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298,251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273,671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24,580</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Costs of services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17,906</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Salary and employee benefits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283,619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267,544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16,075</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138.8 %</w:t>
            </w: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Debt modification and extinguishment costs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107,239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income (expenses), net</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70,300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100,379</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42"/>
        </w:trPr>
        <w:tc>
          <w:tcPr>
            <w:tcW w:w="4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108,884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98,433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48"/>
        </w:trPr>
        <w:tc>
          <w:tcPr>
            <w:tcW w:w="4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28"/>
        </w:trPr>
        <w:tc>
          <w:tcPr>
            <w:tcW w:w="46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Net income (loss) attributable to stockholders of Priority</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26,665</w:t>
            </w:r>
          </w:p>
        </w:tc>
        <w:tc>
          <w:tcPr>
            <w:tcW w:w="120" w:type="dxa"/>
            <w:vAlign w:val="bottom"/>
          </w:tcPr>
          <w:p>
            <w:pPr>
              <w:spacing w:after="0"/>
              <w:rPr>
                <w:sz w:val="15"/>
                <w:szCs w:val="15"/>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(26,420)</w:t>
            </w:r>
          </w:p>
        </w:tc>
        <w:tc>
          <w:tcPr>
            <w:tcW w:w="12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53,085</w:t>
            </w:r>
          </w:p>
        </w:tc>
        <w:tc>
          <w:tcPr>
            <w:tcW w:w="1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08"/>
        </w:trPr>
        <w:tc>
          <w:tcPr>
            <w:tcW w:w="46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Technology Holdings, Inc.</w:t>
            </w:r>
          </w:p>
        </w:tc>
        <w:tc>
          <w:tcPr>
            <w:tcW w:w="280" w:type="dxa"/>
            <w:vAlign w:val="bottom"/>
            <w:tcBorders>
              <w:bottom w:val="single" w:sz="8" w:color="auto"/>
            </w:tcBorders>
            <w:vMerge w:val="continue"/>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shows our reportable segments' financial performance data and selected performance measures for the three months ended September 30, 2020 compared to the three months ended September 30, 2019:</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shd w:val="clear" w:color="auto" w:fill="CCEEFF"/>
          </w:tcPr>
          <w:p>
            <w:pPr>
              <w:spacing w:after="0"/>
              <w:rPr>
                <w:sz w:val="19"/>
                <w:szCs w:val="19"/>
                <w:color w:val="auto"/>
              </w:rPr>
            </w:pPr>
          </w:p>
        </w:tc>
        <w:tc>
          <w:tcPr>
            <w:tcW w:w="356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42"/>
        </w:trPr>
        <w:tc>
          <w:tcPr>
            <w:tcW w:w="4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Consumer Payments:</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99,301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82,742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16,559</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88,203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75,528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11,098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11.2 %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8.7 %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Key Indicators: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Merchant bankcard processing dollar value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11,235,068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10,566,501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668,567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Merchant bankcard transaction volume</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122,623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131,646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Payments: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4,995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6,338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4,826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3"/>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162"/>
        </w:trPr>
        <w:tc>
          <w:tcPr>
            <w:tcW w:w="4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Key Indicators:</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Merchant bankcard processing dollar value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58,304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(33,986)</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30"/>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Merchant bankcard transaction volume</w:t>
            </w:r>
          </w:p>
        </w:tc>
        <w:tc>
          <w:tcPr>
            <w:tcW w:w="30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62"/>
        </w:trPr>
        <w:tc>
          <w:tcPr>
            <w:tcW w:w="4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Integrated Partners:</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4,666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4,413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20.9 %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Key Indicators: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Merchant bankcard processing dollar value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105,537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119,747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Merchant bankcard transaction volume</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 of reportable segments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11,520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Corporate expense</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(4,478)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income from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158.4 %</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Corporate depreciation and amortization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line="20" w:lineRule="exact"/>
              <w:rPr>
                <w:sz w:val="1"/>
                <w:szCs w:val="1"/>
                <w:color w:val="auto"/>
              </w:rPr>
            </w:pPr>
          </w:p>
        </w:tc>
      </w:tr>
      <w:tr>
        <w:trPr>
          <w:trHeight w:val="204"/>
        </w:trPr>
        <w:tc>
          <w:tcPr>
            <w:tcW w:w="4660" w:type="dxa"/>
            <w:vAlign w:val="bottom"/>
            <w:vMerge w:val="continue"/>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7"/>
                <w:szCs w:val="17"/>
                <w:color w:val="auto"/>
              </w:rPr>
            </w:pPr>
          </w:p>
        </w:tc>
        <w:tc>
          <w:tcPr>
            <w:tcW w:w="420" w:type="dxa"/>
            <w:vAlign w:val="bottom"/>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(117)</w:t>
            </w: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 indicators:</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Merchant bankcard processing dollar value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11,398,909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10,778,538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620,371</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34"/>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Merchant bankcard transaction volume</w:t>
            </w:r>
          </w:p>
        </w:tc>
        <w:tc>
          <w:tcPr>
            <w:tcW w:w="300" w:type="dxa"/>
            <w:vAlign w:val="bottom"/>
          </w:tcPr>
          <w:p>
            <w:pPr>
              <w:spacing w:after="0"/>
              <w:rPr>
                <w:sz w:val="20"/>
                <w:szCs w:val="20"/>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123,018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132,093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shows our reportable segments' financial performance data and selected performance measures for the nine months ended September 30, 2020 compared to the nine months ended September 30, 2019:</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shd w:val="clear" w:color="auto" w:fill="CCEEFF"/>
          </w:tcPr>
          <w:p>
            <w:pPr>
              <w:spacing w:after="0"/>
              <w:rPr>
                <w:sz w:val="19"/>
                <w:szCs w:val="19"/>
                <w:color w:val="auto"/>
              </w:rPr>
            </w:pPr>
          </w:p>
        </w:tc>
        <w:tc>
          <w:tcPr>
            <w:tcW w:w="344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42"/>
        </w:trPr>
        <w:tc>
          <w:tcPr>
            <w:tcW w:w="4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Consumer Payments:</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267,039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243,205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23,834</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241,519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220,909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20,610</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25,520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22,296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9.6 %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9.2 %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25,721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24,215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Key Indicators: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Merchant bankcard processing dollar value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30,632,724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31,551,405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(918,681)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Merchant bankcard transaction volume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334,896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382,676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Payments: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17,017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19,492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15,609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20,607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3"/>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62"/>
        </w:trPr>
        <w:tc>
          <w:tcPr>
            <w:tcW w:w="4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Key Indicators:</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Merchant bankcard processing dollar value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195,229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236,716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(41,487)</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Merchant bankcard transaction volume</w:t>
            </w:r>
          </w:p>
        </w:tc>
        <w:tc>
          <w:tcPr>
            <w:tcW w:w="3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162"/>
        </w:trPr>
        <w:tc>
          <w:tcPr>
            <w:tcW w:w="4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Integrated Partners:</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12,729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9,632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10.3 %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12.2 %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Key Indicators: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Merchant bankcard processing dollar value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352,144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259,894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92,250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Merchant bankcard transaction volume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 of reportable segments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28,394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22,523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Corporate expense</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(13,762)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(16,396)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income from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14,632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138.8 %</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Corporate depreciation and amortization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line="20" w:lineRule="exact"/>
              <w:rPr>
                <w:sz w:val="1"/>
                <w:szCs w:val="1"/>
                <w:color w:val="auto"/>
              </w:rPr>
            </w:pPr>
          </w:p>
        </w:tc>
      </w:tr>
      <w:tr>
        <w:trPr>
          <w:trHeight w:val="204"/>
        </w:trPr>
        <w:tc>
          <w:tcPr>
            <w:tcW w:w="4780" w:type="dxa"/>
            <w:vAlign w:val="bottom"/>
            <w:vMerge w:val="continue"/>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7"/>
                <w:szCs w:val="17"/>
                <w:color w:val="auto"/>
              </w:rPr>
            </w:pPr>
          </w:p>
        </w:tc>
        <w:tc>
          <w:tcPr>
            <w:tcW w:w="420" w:type="dxa"/>
            <w:vAlign w:val="bottom"/>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1,214</w:t>
            </w:r>
          </w:p>
        </w:tc>
        <w:tc>
          <w:tcPr>
            <w:tcW w:w="12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(328)</w:t>
            </w: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 indicators:</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Merchant bankcard processing dollar value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31,180,097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32,048,015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(867,918)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4"/>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Merchant bankcard transaction volume</w:t>
            </w:r>
          </w:p>
        </w:tc>
        <w:tc>
          <w:tcPr>
            <w:tcW w:w="30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336,173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383,673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on Results and Trends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outbreak of COVID-19 in the United States, which was declared a pandemic by the World Health Organization on March 11, 2020, continues to adversely affect commercial activity and has contributed to a significant decline in economic activity in 2020 compared to 2019.</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Starting in mid-March 2020 through April 2020, COVID-19 had a significant negative affect on our results. This impact was evident in a significant decline in merchant bankcard volume and revenue during the period of restrictive shelter-in-place requirements instituted across the United States toward the end of March 2020 through April 2020. In May, as shelter in place restrictions began to be lifted and regional economies started to reopen, our processing volumes began to return and revenue growth was supplemented by the acceleration of certain specialized product offerings and ecommerce payment transactions. As a result, we experienced consolidated revenue growth of 10.6% and 0.2% in the first and second quarters of 2020, respectively. Within the second quarter of 2020 we experienced a trough revenue decline of 11.7% in April with accelerating revenue performance of 1.7% growth in May and 10.8% revenue growth in June as compared with the comparable months in 2019. This momentum continued to accelerate in the third quarter of 2020 where we experienced revenue growth of 16.1% over the third quarter of 2019.</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in late summer and continuing into autumn, the level of new COVID-19 cases began to increase again in the United States, with certain states impacted more than others. While there continues to be considerable uncertainty regarding the future economic impacts of this current surge of the pandemic, our October 2020 operating results remained consistent with the third quarter 2020 results. The future impact on the overall economy and our results are beyond our ability to predict or control.</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2020 Compared to Three Months Ended September 30, 2019</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revenue in third quarter 2020 of $109.0 million increased by $15.1 million, or 16.1%, from revenue in third quarter 2019 of $93.9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growth of $16.6 million in our Consumer Payments segment was partially offset by revenue declines of $1.3 million and $0.1 million in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Payments and Integrated Partners segments, respectively.</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in Consumer Payments segment</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Consumer payments revenue in third quarter 2020 of $99.3 million increased $16.6 million, or 20.0%, compared to revenue in third quarter 2019 of $82.7 million. This increase was driven by $8.1 million, or 806.8%, revenue growth from high-margin specialized ecommerce merchants, and higher overall average revenue per processing dollar value.</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Merchant bankcard processing dollar value in the third quarter of 2020 of $11.2 billion increased by $668.6 million, or 6.3%, as compared with $10.6 billion in the third quarter of 2019. Merchant bankcard transactions of 122.6 million in the third quarter of 2020 declined by 6.9%, as compared with 131.6 million in the third quarter of 2019. However, our merchant volume mix drove a 14.2% higher average ticket of $91.62 in the third quarter of 2020, as compared with $80.26 in the third quarter of 2019. Current economic factors have impacted the merchant volume mix, including shifts in payment transaction activity among certain vertical industries, spending trends related to the COVID-19 pandemic that appear to have resulted in consumers conducting fewer payment transactions at higher average transaction values, and an increase in card-not-present transactions. Card-not-present volume generally offers more favorable pricing to us than other types of transactions. The trend of new merchant boarding remains within our historical range of 4,500 to 5,000 new merchants per month. During the third quarter of 2020, our monthly average of new merchants boarded was 4,638 compared with 4,774 in the third quarter of 2019.</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in Commercial Payments segment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Payments revenue in third quarter 2020 of $5.0 million decreased by $1.3 million, or 21.2%, compared to revenue in third quarter 2019 of $6.3 million. Revenue in this segment is derived primarily from our accounts payable automated solutions business and from our curated managed services business.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our accounts payable automated solutions business in third quarter 2020 of $1.5 million increased $0.1 million, or 6.9%, from $1.4 million in third quarter 2019. This increase was due to increased business from existing customers. Revenue from our curated managed services business in third quarter 2020 of $3.5 million decreased by $1.4 million, or 29.3%, from revenue in third quarter 2019 of $4.9 million. This decrease was driven by curtailment of a customer’s merchant financing program in response to the COVID related economic conditions.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in Integrated Partners segment</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Integrated Partners revenue in third quarter 2020 of $4.7 million decreased by $0.1 million, or 2.9%, compared to revenue in third quarter 2019 of $4.8 million. Priority Real Estate Technology, LLC ("PRET") comprised $4.1 million and $4.2 million of this segment's revenue in third quarter 2020 and third quarter 2019, respectively. PRET is comprised of the RentPayment business, primarily assets acquired from YapStone, Inc. in March 2019, and our RadPad/Landlord Station business. The RentPayment business, which was sold in September 2020, generated revenue of $3.9 million in the third quarter of 2020 and $3.7 million in the third quarter of 2019. Revenue from PRET’s RadPad/Landlord Station, Priority PayRight Health Solutions ("PayRight") and Priority Hospitality Technology ("PHOT") comprise the remainder of this segment's revenue.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disclosed in Note 2, </w:t>
      </w:r>
      <w:r>
        <w:rPr>
          <w:rFonts w:ascii="Times New Roman" w:cs="Times New Roman" w:eastAsia="Times New Roman" w:hAnsi="Times New Roman"/>
          <w:sz w:val="18"/>
          <w:szCs w:val="18"/>
          <w:i w:val="1"/>
          <w:iCs w:val="1"/>
          <w:color w:val="auto"/>
        </w:rPr>
        <w:t>Sale of Business</w:t>
      </w:r>
      <w:r>
        <w:rPr>
          <w:rFonts w:ascii="Times New Roman" w:cs="Times New Roman" w:eastAsia="Times New Roman" w:hAnsi="Times New Roman"/>
          <w:sz w:val="18"/>
          <w:szCs w:val="18"/>
          <w:color w:val="auto"/>
        </w:rPr>
        <w:t>, to the unaudited condensed consolidated financial statements, in September 2020 we sold the RentPayment business. Simultaneously with this sale, PRET entered into revenue-producing agreements with the buyer to provide ongoing technology support and payment processing services to the sold business, and offer us an opportunity to expand this relationship and provide payment processing services to existing customers of the buyer. The RentPayment business sale will impact the trend of future results of Integrated Partners.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2020 Compared to Nine Months Ended September 30, 2019</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revenue</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revenue in the first nine months of 2020 of $298.3 million increased by $24.6 million, or 9.0%, from revenue in the first nine months of 2019 of $273.7 million. Revenue growth of $23.8 million in our Consumer Payments segment and $3.2 million in our Integrated Partners segments was partially offset by a decline of $2.5 million in our Commercial Payments segment.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in Consumer Payments segment</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Consumer Payments revenue in the first nine months of 2020 of $267.0 million increased $23.8 million, or 9.8%, compared to revenue in the first nine months of 2019 of $243.2 million. This increase was driven by $11.6 million, or 199.4%, revenue growth from high margin specialized ecommerce merchants, and higher overall average revenue per processing dollar value.</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Merchant bankcard processing dollar value in the first nine months of 2020 of $30.6 billion decreased by $918.7 million, or 2.9%, as compared with $31.6 billion in the first nine months of 2019. Merchant bankcard transactions of 334.9 million in the first nine months of 2020 declined 12.5%, as compared with 382.7 million in the first nine months of 2019. However, our merchant volume mix drove a 10.9% higher average ticket of $91.47 in the first nine months of 2020, as compared with $82.45 in the first nine months of 2019. Current economic factors have impacted the merchant volume mix, including shifts in payment transaction activity among certain vertical industries, spending trends related to the COVID-19 pandemic that appear to have resulted in consumers conducting fewer payment transactions at higher average transaction values, and an increase in card-not-present transactions. Card-not-present volume generally offers more favorable pricing to us than other types of transactions. The trend of new merchant boarding remains within our historical range of 4,500 to 5,000 new merchants per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month. During the first nine months of 2020, our monthly average of new merchants boarded was 4,722 compared with 4,595 in the first nine months of 2019.</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in Commercial Payments segment</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Payments revenue in the first nine months of 2020 of $17.0 million decreased by $2.5 million, or 12.7%, compared to revenue in the first nine months of 2019 of $19.5 million. The increase in revenues from our accounts payable automated solutions services were offset by a decrease in revenues from our curated managed services programs.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our accounts payable automated solutions business in the first nine months of 2020 of $4.5 million increased $0.6 million, or 14.8%, compared to revenue in the first nine months of 2019 of $3.9 million. This increase was due to increased business from existing customers. Revenue from our curated managed services business in the first nine months of 2019 of $12.5 million decreased by $3.1 million, or 19.6%, compared to revenue in the first nine months of 2019 of $15.6 million. This decrease was driven by a decline and third quarter 2020 curtailment of a customer’s merchant financing program in response to the COVID related economic conditions.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in Integrated Partners segment</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Integrated Partners revenue in the first nine months of 2020 of $14.2 million increased by $3.2 million, or 29.4%, compared to revenue in the first nine months of 2019 of $11.0 million. PRET comprised $12.6 million and $9.5 million of this segment's revenue in the first nine months of 2020 and the first nine months of 2019, respectively. The RentPayment business, which was formed upon the March 2019 asset acquisition from YapStone, Inc., generated revenue of $12.1 million in the first nine months of 2020 and $8.1 million in the first nine months of 2019. Revenue from PRET’s RadPad/Landlord Station, Priority PayRight Health Solutions ("PayRight") and PHOT comprise the remainder of this segment's revenue.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in the previous discussion for the third quarters of 2020 and 2019, the RentPayment business sale in September 2020 will impact the trend of future results of Integrated Partners.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Operating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2020 Compared to Three Months Ended September 30, 2019</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consolidated operating expenses in third quarter 2020 of $101.9 million increased $10.8 million, or 11.8%, from consolidated operating expenses in third quarter 2019 of $91.2 million. This overall increase was driven by an increase in costs of services of $11.3 million, or 17.7%, resulting from higher revenues in third quarter 2020. Depreciation and amortization expense of $10.3 million increased slightly by $0.2 million, or 1.7%, in third quarter 2020. Salary and employee benefits expenses of $10.0 million decreased $0.7 million, or 6.2%, in third quarter 2020 driven by lower headcount in 2020. Selling, general and administrative expenses ("SG&amp;A") of $6.7 million in third quarter 2020 approximated $6.7 million in third quarter 2019. Decreases in office and travel-related costs due to the COVID-19 pandemic, lower outside professional fees due to in-sourcing of certain services, and an overall focus on cost containment, was offset by a $1.0 million write-down in the carrying value of an intangible asset in the Consumer Payments segment.</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2020 Compared to Nine Months Ended September 30, 2019</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consolidated operating expenses in first nine months of 2020 of $283.6 million increased $16.1 million, or 6.0%, from consolidated operating expenses in third quarter 2019 of $267.5 million. This overall increase was driven by an increase in costs of services of $17.9 million, or 9.6%, resulting from higher revenues in first nine months of 2020. Depreciation and amortization expense of $30.9 million increased by $2.1 million, or 7.4%, in the first nine months of 2020 due to higher intangible amortization in the Consumer Payments and Integrated Partners segments. Salary and employee benefits expenses of $29.7 million decreased $2.2 million, or 7.0%, in first nine months of 2020 driven by lower headcount in 2020. SG&amp;A of $19.3</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million decreased $1.7 million, or 8.2%, in first nine months of 2019 driven by decreases in office and travel-related costs due to the COVID-19 pandemic, lower outside professional fees due to in-sourcing of certain services, and an overall focus on cost containment. These reductions were partially offset by a $1.0 million write-down in the carrying value of an intangible asset in the Consumer Payments segment during the first nine months of 2020.</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2020 Compared to Three Months Ended September 30, 2019</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Consolidated income from operations in third quarter 2020 of $7.0 million increased by $4.3 million, or 158.4%, from $2.7 million in third quarter 2019. Our consolidated operating margin for third quarter 2020 was 6.5% compared to 2.9% for third quarter 2019. This margin increase was the result of lower salary and employee benefits expenses of $0.7 million due to headcount reductions, and higher revenues less costs of services of $3.8 million. These favorable changes for third quarter 2020 were partially offset by higher depreciation and amortization expense of $0.2 million and a $1.0 million write-down in the carrying value of an intangible asset in the Consumer Payments segment.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Consumer Payments segment contributed $11.1 million in income from operations for third quarter 2020, an increase of $3.9 million, or 53.8%, from $7.2 million for third quarter 2019. The main driver of this change was an improved operating margin of 11.2% for third quarter 2020 compared to 8.7% for the third quarter of 2019 which reflected higher revenue less costs of services of $4.2 million. Growth in higher-margin specialty ecommerce transactions and the increase in the average ticket, both previously discussed, were the main drivers of the improved operating margin for third quarter 2020. Income from operations also benefited from a $0.7 million decrease in salary and employee benefits expenses due to lower headcount.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Commercial Payments segment earned income from operations of $0.2 million for third quarter 2020 compared to a loss from operations of $0.4 million for third quarter 2019. This improvement was largely driven by a $0.2 million decrease in salaries and employee benefits expenses due to lower headcount and a $0.5 million decrease in SG&amp;A expenses. Included in SG&amp;A expenses for third quarter 2019 were certain one-time operational losses of $0.5 million which were substantially recovered in third quarter 2020.</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Integrated Partners segment earned income from operations of $0.3 million for third quarter 2020, a decrease of $0.8 million compared to $1.0 million of income from operations for third quarter 2019. The overall decrease was caused by a $0.2 million decrease in revenues less costs of services and a $0.6 million increase in SG&amp;A expenses primarily related to transition services provided by YapStone, Inc. in connection with the assets acquired in March 2019. These transition services were $1.0 million in third quarter 2020 and $0.4 million in third quarter 2019. Operating results for third quarter 2020 and third quarter 2019 included depreciation and amortization expense of $1.4 million and $1.3 million, respectively. These factors were partially offset by a $0.2 million decrease in salary and employee benefit expenses.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Corporate expenses were $4.5 million for third quarter 2020, a decrease of $0.6 million, or 12.4%, from expenses of $5.1 million for third quarter 2019. Salaries and employee benefits increased $0.4 million due to higher incentive compensation accruals, SG&amp;A expenses declined $0.9 million, and depreciation and amortization expense decreased $0.1 million. Included in SG&amp;A in third quarter 2020 are expenses we deem to be non-recurring in nature of $0.6 million, offset by litigation settlement income of $0.8 million, and in the third quarter 2019 are non-recurring expenses of $0.9 million, slightly offset by litigation settlement income of $0.1 million.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2020 Compared to Nine Months Ended September 30, 2019</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income from operations in the first nine months of 2020 of $14.6 million increased by $8.5 million, or 138.8%, from $6.1 million for the first nine months of 2019. Our consolidated operating margin for the first nine months of 2020 was 4.9% compared to 2.2% for the first nine months of 2019. This margin increase was the result of higher revenues less costs of services of $6.7 million, lower salary and employee benefits expenses of $2.2 million, and lower SG&amp;A expenses of $1.7 million, partially offset by higher depreciation and amortization expense of $2.1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Consumer Payments segment contributed $25.5 million of income from operations for the first nine months of 2020, an increase of $3.2 million, or 14.5%, from the $22.3 million for the first nine months of 2019. This increase was the result of higher revenue less costs of services of $3.6 million and an improved operating margin of 9.6% in the 2020 period from 9.2% in the 2019 period. The overall improvement in the 2020 period was also the result of a $1.7 million decrease in salary and employee benefit expenses due to lower headcount. The improvement was partially offset by a $1.5 million increase in depreciation and amortization expense and a $1.0 million write-down in SG&amp;A for the carrying value of an intangible asset.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Commercial Payments segment earned income from operations of $1.4 million for the first nine months of 2020 compared to a loss from operations of $1.1 million for the first nine months of 2019. This improvement was driven by a $0.5 million improvement in revenues less costs of services, a $0.5 million decrease in salaries and employee benefits expenses due to lower headcount, and a $1.5 million decrease in SG&amp;A expenses. The decrease in SG&amp;A expenses was driven by reduced travel and trade show expenses due to the COVID-19 pandemic. Also included in SG&amp;A expenses for the 2019 period were certain one-time operational losses of $0.5 million which were substantially recovered in the 2020 period.</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Integrated Partners segment contributed $1.5 million of income from operations for the first nine months of 2020, an increase of $0.1 million compared to $1.3 million in the first nine months of 2019. The increase was due to a $2.5 million increase in revenues less costs of services and a $0.3 million decrease in salary and employee benefit expenses, largely offset by $1.7 million increase in SG&amp;A expenses and a $1.0 million increase in depreciation and amortization expense. The increase in SG&amp;A expenses primarily related to transition services provided by YapStone, Inc. in connection with the assets acquired in March 2019. These transition services were $2.8 million in first nine months of 2020 and $1.2 million in first nine months of 2019. The increase in depreciation and amortization expense was due to amortization of the intangible assets acquired in March 2019 from YapStone, Inc.</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Corporate expenses were $13.8 million for the first nine months of 2020, a decrease of $2.6 million, or 16.1%, from expenses of $16.4 million for the first nine months of 2019. Salaries and employee benefits increased $0.2 million, SG&amp;A expenses declined $2.5 million, and depreciation and amortization expense decreased $0.3 million. Included in SG&amp;A in the first nine months of 2020 are expenses we deem to be non-recurring in nature of $1.5 million, offset by litigation settlement income of $0.8 million, and in the third quarter 2019 are non-recurring expenses of $2.8 million.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amortization of deferred financing costs and debt discounts increases our reported interest expense and the effective interest rates under our Senior Credit Agreement and GS Credit Agreement.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third quarter 2020, interest expense increased by $3.0 million, or 28.7%, to $13.5 million from $10.5 million in third quarter 2019. The additional expense was due to increases in the applicable margins on the Senior Credit Agreement and the GS Credit Agreement that resulted from the Sixth Amendment in March 2020. For third quarter 2020, the effective interest rates on the term facility of our Senior Credit Agreement and GS Credit agreement were 9.87% and 14.62%, respectively, compared to 7.92% and 10.90%, respectively, for third quarter 2019.</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first nine months of 2020, interest expense increased $4.9 million, or 15.9%, to $35.5 million from $30.6 million in the first nine months of 2019. The additional expense was due to the increases in the applicable margins noted above, along with higher outstanding borrowings driven by draws on the Senior Credit Agreement in March 2019 and draws on the revolving credit facility. For the first nine months of 2020, the effective interest rates on the term facility of our Senior Credit Agreement and GS Credit Agreement were 8.57% and 12.99%, respectively, compared to 7.50% and 10.80% for the first nine months of 2019.</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$106.5 million principal pay down that we made in late September 2020 to reduce our outstanding indebtedness under the term facility of our Senior Credit Agreement and the related partial write off of unamortized deferred loans costs and discounts associated with the principal pay down, the applicable margins on the Senior Credit Agreement and the GS Credit Agreement are expected to decrease. Based on applicable margins and LIBOR rate in effect on September 30, 2020, we expect the effective interest rates on the term facility of our Senior Credit Agreement and GS Credit Agreement to be 8.2% and 12.8%, respectively,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extinguishment and modification costs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above, during September 2020 we wrote off unamortized deferred debt costs and discount of $1.5 million associated with the $106.5 million principal prepayment for the term facility under our Senior Credit Agreement. In first quarter 2020, we expensed $0.4 million of third-party costs related to the Sixth Amendment to the Senior Credit Agreement and the GS Credit Agreement.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business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disclosed in Note 2, </w:t>
      </w:r>
      <w:r>
        <w:rPr>
          <w:rFonts w:ascii="Times New Roman" w:cs="Times New Roman" w:eastAsia="Times New Roman" w:hAnsi="Times New Roman"/>
          <w:sz w:val="18"/>
          <w:szCs w:val="18"/>
          <w:i w:val="1"/>
          <w:iCs w:val="1"/>
          <w:color w:val="auto"/>
        </w:rPr>
        <w:t>Sale of Business</w:t>
      </w:r>
      <w:r>
        <w:rPr>
          <w:rFonts w:ascii="Times New Roman" w:cs="Times New Roman" w:eastAsia="Times New Roman" w:hAnsi="Times New Roman"/>
          <w:sz w:val="18"/>
          <w:szCs w:val="18"/>
          <w:color w:val="auto"/>
        </w:rPr>
        <w:t>, to the unaudited condensed consolidated financial statements, during late September 2020 our consolidated PRET subsidiary sold the RentPayment business, which is substantially all of the assets acquired from YapStone, Inc. in March 2019. Based on efforts and changes made by us since the March 2019 acquisition of these assets, the assets constituted a business, as defined by GAAP, when sold in September 2020 for $179.4 million, net of a working capital adjustment. The sale price does not contain any contingent components. After removing the carrying values of the disposed business and incurring costs related to the transaction, PRET recognized a pre-tax gain of $107.2 million. PRET had non-controlling interests ("NCIs"), and based on the cash waterfall provisions in PRET's operating agreement, the NCIs were entitled to $45.1 million of the $107.2 million pre-tax gain, which is included in Net Income Attributable to Non-Controlling Interests on our consolidated statement of operations for the three months and nine months ended September 30, 2020. The $45.1 million was distributed in cash to the NCIs, and the $45.1 million of payments along with the $5.7 million redemption payment made to one of the NCIs, resulted in the full redemption of all NCIs of PRET.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22222"/>
        </w:rPr>
        <w:t xml:space="preserve">We assess all available positive and negative evidence to estimate whether sufficient taxable income will be generated in the future to permit use of the existing deferred tax assets. ASC 740, </w:t>
      </w:r>
      <w:r>
        <w:rPr>
          <w:rFonts w:ascii="Times New Roman" w:cs="Times New Roman" w:eastAsia="Times New Roman" w:hAnsi="Times New Roman"/>
          <w:sz w:val="18"/>
          <w:szCs w:val="18"/>
          <w:i w:val="1"/>
          <w:iCs w:val="1"/>
          <w:color w:val="222222"/>
        </w:rPr>
        <w:t>Income Taxes</w:t>
      </w:r>
      <w:r>
        <w:rPr>
          <w:rFonts w:ascii="Times New Roman" w:cs="Times New Roman" w:eastAsia="Times New Roman" w:hAnsi="Times New Roman"/>
          <w:sz w:val="18"/>
          <w:szCs w:val="18"/>
          <w:color w:val="222222"/>
        </w:rPr>
        <w:t xml:space="preserve"> ("ASC 740"), requires that all sources of future taxable income be considered in making this determination. The Tax Cuts and Jobs Act of 2017 amended section 163(j) of the Internal Revenue Code. </w:t>
      </w:r>
      <w:r>
        <w:rPr>
          <w:rFonts w:ascii="Times New Roman" w:cs="Times New Roman" w:eastAsia="Times New Roman" w:hAnsi="Times New Roman"/>
          <w:sz w:val="18"/>
          <w:szCs w:val="18"/>
          <w:color w:val="000000"/>
        </w:rPr>
        <w:t>Section 163(j), as amended, limits the business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interest deduction to 30% of adjusted taxable income ("ATI"). For taxable years through 2021, the calculation of ATI closely aligns with earnings before interest, taxes, depreciation and amortization ("EBITDA"). Commencing in 2022, the ATI limitation more closely aligns with earnings before interest and taxes ("EBIT"), without adjusting for depreciation and amortization. Any business interest in excess of the annual limitation is carried forward indefinitely. In March 2020, the Coronavirus Aid, Relief, and Economic Security Act ("CARES Act") was enacted, which among other provisions, provides for the increase of the 163(j) ATI limitation from 30% to 50% for tax years 2019 and 2020.</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recording a deferred tax benefit for the carryforward of business interest expense, GAAP applies a "more likely than not" threshold for assessing recoverability. Adjustments to the valuation allowance are a component of income tax expense (benefit) in our statements of operations. An increase in the valuation allowance for deferred income taxes will increase income tax expense (or reduce an otherwise income tax benefit), and a decrease in the valuation allowance will decrease income tax expense (or increase an otherwise income tax benefit).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22222"/>
        </w:rPr>
        <w:t>On the basis of our assessment, during third quarter 2020, the nine months ended September 30, 2020, and the nine months ended September 30, 2019, we increased the valuation allowance for deferred income taxes by $1.2 million, $5.4 million, and $5.2 million, respectively, associated with excess business interest for the then-current reporting periods.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first quarter 2020, we recorded a discrete decrease to the valuation allowance of $1.5 million for business interest related to 2019 as a result of the CARES Act, and in third quarter 2020 we recorded another discrete decrease to the valuation allowance of $7.6 million for business interest related to the expected utilization of the prior year carryforward during 2020. During the nine months ended September 30, 2019, we recorded a discrete increase to the valuation allowance of $2.6 million for excess business interest related to a prior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22222"/>
        </w:rPr>
        <w:t>We will continue to evaluate the realizability of the net deferred tax asset on a quarterly basis and, as a result, the valuation allowance may change in future periods.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compute our interim period income tax expense or benefit by using a forecasted estimated annual effective tax rate ("EAETR") and adjust for any discrete items arising during the interim period and any changes in our projected full-year business interest expense and taxable income. The EAETR for 2020 is 25.0% and includes the income tax provision on pre-tax income, a tax provision related to establishment of a valuation allowance for deferred income tax on the future portion of the Section 163(j) limitation created by the 2020 debt refinancing, and a reduction of the tax provision related to income attributable to non-controlling interests of a consolidated subsidiary. In addition, a discrete income tax benefit was recorded related to the release of a portion of our valuation allowance on our 2018 and 2019 Section 163(j) limitation as a result of the CARES Act and forecasted utilization of our 163(j) interest limitation carryforward during 2020.</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Approximately $12.4 million of income tax expense for the three months and nine months ended September 30, 2020 was a attributable to the gain on the business sale (see Note 2, </w:t>
      </w:r>
      <w:r>
        <w:rPr>
          <w:rFonts w:ascii="Times New Roman" w:cs="Times New Roman" w:eastAsia="Times New Roman" w:hAnsi="Times New Roman"/>
          <w:sz w:val="18"/>
          <w:szCs w:val="18"/>
          <w:i w:val="1"/>
          <w:iCs w:val="1"/>
          <w:color w:val="auto"/>
        </w:rPr>
        <w:t>Sale of Business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attributable to non-controlling interests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addition to the $45.1 million discussed above for the NCIs of PRET, we attributed and paid $0.2 million to the NCIs of PHOT for the three months ended September 30, 2020. See Note 4, </w:t>
      </w:r>
      <w:r>
        <w:rPr>
          <w:rFonts w:ascii="Times New Roman" w:cs="Times New Roman" w:eastAsia="Times New Roman" w:hAnsi="Times New Roman"/>
          <w:sz w:val="18"/>
          <w:szCs w:val="18"/>
          <w:i w:val="1"/>
          <w:iCs w:val="1"/>
          <w:color w:val="auto"/>
        </w:rPr>
        <w:t>Non-Controlling Interests</w:t>
      </w:r>
      <w:r>
        <w:rPr>
          <w:rFonts w:ascii="Times New Roman" w:cs="Times New Roman" w:eastAsia="Times New Roman" w:hAnsi="Times New Roman"/>
          <w:sz w:val="18"/>
          <w:szCs w:val="18"/>
          <w:color w:val="auto"/>
        </w:rPr>
        <w:t>,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our consolidated balance sheet as of December 31, 2019, the following key changes have occurred at September 30, 2020.</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Total cash and unrestricted cash increased by $8.4 million during the first nine months of 2020. Excluding restricted cash, the increase in cash was $18.5 million. The increase in unrestricted cash was largely attributable to the sale of the real estate business by our PRET subsidiary in September 2020, net of a large debt repayment and payments to the non-controlling interests of PRET. Restricted cash decreased by $10.1 million, in line with the decrease in settlement obligations reflected on our balance sheet. For an explanation of the key drivers of this change, see the subsequent section,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Resources</w:t>
      </w:r>
      <w:r>
        <w:rPr>
          <w:rFonts w:ascii="Times New Roman" w:cs="Times New Roman" w:eastAsia="Times New Roman" w:hAnsi="Times New Roman"/>
          <w:sz w:val="18"/>
          <w:szCs w:val="18"/>
          <w:color w:val="auto"/>
        </w:rPr>
        <w:t>, and our unaudited consolidated statement of cash flows included in this Form 10-Q.</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Intangible assets, net of accumulated amortization, decreased a net of $85.6 million during the first nine months of 2020. As disclosed in Note 2, </w:t>
      </w:r>
      <w:r>
        <w:rPr>
          <w:rFonts w:ascii="Times New Roman" w:cs="Times New Roman" w:eastAsia="Times New Roman" w:hAnsi="Times New Roman"/>
          <w:sz w:val="18"/>
          <w:szCs w:val="18"/>
          <w:i w:val="1"/>
          <w:iCs w:val="1"/>
          <w:color w:val="auto"/>
        </w:rPr>
        <w:t>Sale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intangible assets were reduced by a net of $63.4 million in September 2020. An impairment charge and resulting impairment reserve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residual buyout reduced the net carrying value of an intangible asset by $1.0 million in third quarter 2020. Amortization expense during the 2020 period was $25.2 million. The carrying value increased by $4.4 million for acquisitions.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Obligations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Outstanding amounts for our debt obligations under our Senior Credit Agreement and our GS Credit Agreement decreased by a net of $103.4 million during the first nine months of 2020. This decrease was attributable to principal repayments of $109.5 million for term debt, including an unscheduled payment of $106.5 million made in September 2020. PIK interest of $6.6 million added to the outstanding balances. All new advances made in the 2020 period on the revolving credit facility were repaid by September 2020. See the additional discussion about our debt obligations in the subsequent section for Liquidity and Capital Resources.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Deficit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Stockholders' deficit attributable to the stockholders of the Company changed by $28.1 million, from a deficit of $126.3 million at December 31, 2019 to a deficit of $98.3 million at September 30, 2020. The primary driver of this change was the net income attributable to stockholders of the Company of $26.7 million for the first nine months of 2020 million and $1.4 million of increases to additional paid-in capital for equity-based stock compensation.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Liquidity and capital resource management is a process focused on providing the funding we need to meet our short-term and long-term cash and working capital needs. We have used our funding sources to build our merchant portfolio, technology solutions, and to make acquisitions with the expectation that such investments will generate cash flows sufficient to cover our working capital needs and other anticipated needs, including for our acquisition strategy. We anticipate that cash on hand, funds generated from operations and available borrowings under our revolving credit facility are sufficient to meet our working capital requirements for at least the next twelve months. This is based upon </w:t>
      </w:r>
      <w:r>
        <w:rPr>
          <w:rFonts w:ascii="Times New Roman" w:cs="Times New Roman" w:eastAsia="Times New Roman" w:hAnsi="Times New Roman"/>
          <w:sz w:val="18"/>
          <w:szCs w:val="18"/>
          <w:color w:val="212529"/>
        </w:rPr>
        <w:t>management’s estimates and assumptions utilizing the most currently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available information </w:t>
      </w:r>
      <w:r>
        <w:rPr>
          <w:rFonts w:ascii="Times New Roman" w:cs="Times New Roman" w:eastAsia="Times New Roman" w:hAnsi="Times New Roman"/>
          <w:sz w:val="18"/>
          <w:szCs w:val="18"/>
          <w:color w:val="000000"/>
        </w:rPr>
        <w:t>regarding the</w:t>
      </w:r>
      <w:r>
        <w:rPr>
          <w:rFonts w:ascii="Times New Roman" w:cs="Times New Roman" w:eastAsia="Times New Roman" w:hAnsi="Times New Roman"/>
          <w:sz w:val="18"/>
          <w:szCs w:val="18"/>
          <w:color w:val="212529"/>
        </w:rPr>
        <w:t xml:space="preserve"> effects of the COVID-19 pandemic on our financial results. </w:t>
      </w:r>
      <w:r>
        <w:rPr>
          <w:rFonts w:ascii="Times New Roman" w:cs="Times New Roman" w:eastAsia="Times New Roman" w:hAnsi="Times New Roman"/>
          <w:sz w:val="18"/>
          <w:szCs w:val="18"/>
          <w:color w:val="000000"/>
        </w:rPr>
        <w:t>Actual future results could differ materially, as</w:t>
      </w:r>
      <w:r>
        <w:rPr>
          <w:rFonts w:ascii="Times New Roman" w:cs="Times New Roman" w:eastAsia="Times New Roman" w:hAnsi="Times New Roman"/>
          <w:sz w:val="18"/>
          <w:szCs w:val="18"/>
          <w:color w:val="212529"/>
        </w:rPr>
        <w:t xml:space="preserve"> the magnitude, duration and effects of the COVID-19 pandemic are difficult to predict, and ultimately could negatively impact our liquidity, capital resources, and debt covenant compliance.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uses of cash are to fund business operations, administrative costs, and debt service.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working capital, defined as current assets less current liabilities, was $3.6 million and $1.2 million at September 30, 2020 and December 31, 2019, respectively. As of September 30, 2020, we had unrestricted cash totaling $21.7 million compared to $3.2 million at December 31, 2019. These balances do not include restricted cash, which reflects cash accounts holding customer settlement funds of $37.1 million at September 30, 2020 and $47.2 million at December 31,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2020, approximately $14.0 million was available under the revolving credit facility of our Senior Credit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and narrative reflect our changes in cash flows for the comparative periods: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8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7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0"/>
        </w:trPr>
        <w:tc>
          <w:tcPr>
            <w:tcW w:w="4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10,617</w:t>
            </w: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(93,623)</w:t>
            </w:r>
          </w:p>
        </w:tc>
      </w:tr>
      <w:tr>
        <w:trPr>
          <w:trHeight w:val="229"/>
        </w:trPr>
        <w:tc>
          <w:tcPr>
            <w:tcW w:w="4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(163,761)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76,018</w:t>
            </w: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restricted cash</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which includes changes in restricted cash, in the first nine months of 2020 was $3.1 million compared to net cash provided by operating activities of $10.6 million for the first nine months of 2019. This $7.5 million decrease for the 2020 period was largely the result of changes in settlement obligations and restricted cash as well as payments for transactions costs related to the business sale.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Investing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(used in) investing activities was $169.0 million and $(93.6) million for the first nine months of 2020 and the first nine months of 2019, respectively. During the 2020 period, we received gross cash of $179.4 million from the sale of a business. Cash used in investing activities for the first nine months of 2019 included $18.0 million used for residual buyouts and $63.8 million used to acquire assets from YapStone, Inc. Cash of $4.4 million was used during the 2020 period to partially fund a portfolio acquisition and to fund the contingent portion of a residual buyout. Cash used to acquire property, equipment, and software amounted to $6.0 million and $8.7 million for the 2020 period and the 2019 period, respectively.</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Provided By Financing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$163.8 million for the first nine months of 2020 compared to cash provided of $76.0 million in the first nine months of 2019. The amount for the 2020 period included $109.5 million in principal repayments on the term facility for our Senior Credit Agreement and $51.0 million of cash payments to the non-controlling interests of PRET and PHOT. The amount for the 2019 period included net borrowings under our Senior Credit Agreement consisting of $11.5 million under the revolving facility and a $69.7 million delayed draw under the term facility that was used to acquire certain assets from YapStone, Inc. in March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2020, we had outstanding long-term debt of $392.1 million compared to $495.5 million at December 31, 2019, a decrease of $103.4 million. The debt balance at September 30, 2020 consisted of outstanding term debt of $280.4 million under the Senior Credit Facility and $100.7 million in term debt under the subordinated Credit and Guaranty Agreement with Goldman Sachs Specialty Lending Group, L.P. (the "GS Credit Facility") (including accrued payment-in-kind ("PIK") interest through September 30, 2020). Additionally, under the Senior Credit Facility, we have a $25 million revolving credit facility, which had $11.0 million drawn and outstanding as of September 30, 2020. The outstanding principal amounts under the Senior Credit Facility and the subordinated GS Credit Facility mature in January 2023 and July 2023, respectively. The $25 million revolving credit facility expires in January 2022.</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Senior Credit Facility and the subordinated GS Credit Facility are secured by substantially all of our assets, however, the parent entity, Priority Technology Holdings, Inc., is neither a borrower nor guarantor to the Senior Credit Facility or the GS Credit Facility.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18, 2020, we modified the Senior Credit Agreement and the GS Credit Amendment (collectively, the "Sixth Amendment"). As of September 30, 2020, financial covenants, as amended, under the Senior Credit Facility required the Total Net Leverage Ratio, as defined in the agreement, not to exceed 7.75:1.00 at September 30, 2020 through December 31, 2020. The Total Net Leverage Ratio steps down thereafter. The Total Net Leverage Ratio covenant is a material term within the Sixth Amendment.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2020, we were in compliance with our financial covenants. Noncompliance in the future could have materially adverse impacts on our financial condition, including giving the lenders the right to accelerate the debt repayment schedule and restricting access to the revolving credit facility. Based upon current projections, the Company expects to be in compliance with its debt covenants for at least the foreseeable future. For additional information about the risks associated with our debt agreements and related covenants, refer to the "Risk Factors Related to Our Indebtedness" in Item 1A, Risk Factors, in our most recent Annual Report on Form 10-K filed with the U.S. Securities and Exchange Commission on March 30, 2020.</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Net Leverage Ratio, Consolidated Total Debt, and Consolidated Adjusted EBITDA are defined in Section 1.01 of Exhibit A to the Sixth Amendment (Exhibit 10.2 and Exhibit 10.3 to this Quarterly Report on Form 10-Q) and summarized below:</w:t>
      </w:r>
    </w:p>
    <w:p>
      <w:pPr>
        <w:spacing w:after="0" w:line="18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Net Leverage Ratio means, at any date of determination, the ratio of Consolidated Total Debt for such date, to Consolidated Adjusted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3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Total Debt is the aggregate principal amount of indebtedness minus the aggregate amount of unrestricted cash at the balance sheet date.</w:t>
      </w:r>
    </w:p>
    <w:p>
      <w:pPr>
        <w:spacing w:after="0" w:line="188"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Adjusted EBITDA is consolidated net income plus any applicable items determined in accordance with clauses (i)(b) through (i)(v) of the Consolidated Adjusted EBITDA definition, minus any applicable items determined in accordance with clauses (ii)(a) through (ii)(g) of the Consolidated Adjusted EBITDA definition in Section 1.01 of the Sixth Amendment ("Applicable Adjustments").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the provisions of the Sixth Amendment, calculation of Consolidated Adjusted EBITDA at each interim quarterly measurement period in 2020 is determined as the current year-to-date Consolidated Adjusted EBITDA annualized. For interim quarterly and full year measurement periods commencing in January 2021, calculation of Consolidated Adjusted EBITDA is determined on a last twelve months basis.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Adjusted EBITDA is a non-GAAP liquidity measure. For determining the Total Net Leverage Ratio at September 30, 2020, Consolidated Adjusted EBITDA was calculated as follows in accordance with the referenced clause definitions from Section 1.01 of the Sixth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0" w:type="dxa"/>
            <w:vAlign w:val="bottom"/>
          </w:tcPr>
          <w:p>
            <w:pPr>
              <w:spacing w:after="0"/>
              <w:rPr>
                <w:sz w:val="1"/>
                <w:szCs w:val="1"/>
                <w:color w:val="auto"/>
              </w:rPr>
            </w:pPr>
          </w:p>
        </w:tc>
      </w:tr>
      <w:tr>
        <w:trPr>
          <w:trHeight w:val="183"/>
        </w:trPr>
        <w:tc>
          <w:tcPr>
            <w:tcW w:w="8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Income Attributable to Stockholders of Priority Technology Holdings, Inc.(GAAP)</w:t>
            </w:r>
          </w:p>
        </w:tc>
        <w:tc>
          <w:tcPr>
            <w:tcW w:w="8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26,665</w:t>
            </w:r>
          </w:p>
        </w:tc>
        <w:tc>
          <w:tcPr>
            <w:tcW w:w="0" w:type="dxa"/>
            <w:vAlign w:val="bottom"/>
          </w:tcPr>
          <w:p>
            <w:pPr>
              <w:spacing w:after="0"/>
              <w:rPr>
                <w:sz w:val="1"/>
                <w:szCs w:val="1"/>
                <w:color w:val="auto"/>
              </w:rPr>
            </w:pPr>
          </w:p>
        </w:tc>
      </w:tr>
      <w:tr>
        <w:trPr>
          <w:trHeight w:val="230"/>
        </w:trPr>
        <w:tc>
          <w:tcPr>
            <w:tcW w:w="8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Applicable Adjustments: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Gain on sale of business, less amounts attributable and paid to NCIs (clause (ii)(c))</w:t>
            </w: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(62,091)</w:t>
            </w:r>
          </w:p>
        </w:tc>
        <w:tc>
          <w:tcPr>
            <w:tcW w:w="0" w:type="dxa"/>
            <w:vAlign w:val="bottom"/>
          </w:tcPr>
          <w:p>
            <w:pPr>
              <w:spacing w:after="0"/>
              <w:rPr>
                <w:sz w:val="1"/>
                <w:szCs w:val="1"/>
                <w:color w:val="auto"/>
              </w:rPr>
            </w:pPr>
          </w:p>
        </w:tc>
      </w:tr>
      <w:tr>
        <w:trPr>
          <w:trHeight w:val="230"/>
        </w:trPr>
        <w:tc>
          <w:tcPr>
            <w:tcW w:w="8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expense (clause (i)(b))</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35,454</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Depreciation and amortization (clause (i)(d) and (i)(e))</w:t>
            </w: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30,886</w:t>
            </w:r>
          </w:p>
        </w:tc>
        <w:tc>
          <w:tcPr>
            <w:tcW w:w="0" w:type="dxa"/>
            <w:vAlign w:val="bottom"/>
          </w:tcPr>
          <w:p>
            <w:pPr>
              <w:spacing w:after="0"/>
              <w:rPr>
                <w:sz w:val="1"/>
                <w:szCs w:val="1"/>
                <w:color w:val="auto"/>
              </w:rPr>
            </w:pPr>
          </w:p>
        </w:tc>
      </w:tr>
      <w:tr>
        <w:trPr>
          <w:trHeight w:val="229"/>
        </w:trPr>
        <w:tc>
          <w:tcPr>
            <w:tcW w:w="8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Income tax expense (clause (i)(c))</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Non-cash stock-based compensation (clause (i)(j))</w:t>
            </w: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0" w:type="dxa"/>
            <w:vAlign w:val="bottom"/>
          </w:tcPr>
          <w:p>
            <w:pPr>
              <w:spacing w:after="0"/>
              <w:rPr>
                <w:sz w:val="1"/>
                <w:szCs w:val="1"/>
                <w:color w:val="auto"/>
              </w:rPr>
            </w:pPr>
          </w:p>
        </w:tc>
      </w:tr>
      <w:tr>
        <w:trPr>
          <w:trHeight w:val="229"/>
        </w:trPr>
        <w:tc>
          <w:tcPr>
            <w:tcW w:w="8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Acquisition transition services (clause (i)(k))</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Debt extinguishment and modification costs (clause (i)(h))</w:t>
            </w: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0" w:type="dxa"/>
            <w:vAlign w:val="bottom"/>
          </w:tcPr>
          <w:p>
            <w:pPr>
              <w:spacing w:after="0"/>
              <w:rPr>
                <w:sz w:val="1"/>
                <w:szCs w:val="1"/>
                <w:color w:val="auto"/>
              </w:rPr>
            </w:pPr>
          </w:p>
        </w:tc>
      </w:tr>
      <w:tr>
        <w:trPr>
          <w:trHeight w:val="230"/>
        </w:trPr>
        <w:tc>
          <w:tcPr>
            <w:tcW w:w="8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Impairment of intangible asset (clause (i)(f))</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Write off of an equity-method investment (clause (i)(f))</w:t>
            </w: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0"/>
        </w:trPr>
        <w:tc>
          <w:tcPr>
            <w:tcW w:w="8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Certain legal fees and expenses (clause (i)(m))</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Litigation settlement (clause (i)(k))</w:t>
            </w: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29"/>
        </w:trPr>
        <w:tc>
          <w:tcPr>
            <w:tcW w:w="8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Professional, accounting and consulting fees (clause (i)(k))</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professional and consulting fees (clause(i) (h))</w:t>
            </w: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29"/>
        </w:trPr>
        <w:tc>
          <w:tcPr>
            <w:tcW w:w="8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adjustments and tax expenses (clause (i)(q))</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Pro forma impact of disposal</w:t>
            </w:r>
          </w:p>
        </w:tc>
        <w:tc>
          <w:tcPr>
            <w:tcW w:w="6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Adjusted EBITDA (non-GAAP)</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45,067</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Factor to annualize year-to-date</w:t>
            </w:r>
          </w:p>
        </w:tc>
        <w:tc>
          <w:tcPr>
            <w:tcW w:w="6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Annualized</w:t>
            </w:r>
          </w:p>
        </w:tc>
        <w:tc>
          <w:tcPr>
            <w:tcW w:w="6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60,089</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 September 30, 2020, the Total Net Leverage Ratio was 6:16:1.00, calculated as follows:</w:t>
            </w: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4"/>
        </w:trPr>
        <w:tc>
          <w:tcPr>
            <w:tcW w:w="83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4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ratio)</w:t>
            </w:r>
          </w:p>
        </w:tc>
        <w:tc>
          <w:tcPr>
            <w:tcW w:w="64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0" w:type="dxa"/>
            <w:vAlign w:val="bottom"/>
          </w:tcPr>
          <w:p>
            <w:pPr>
              <w:spacing w:after="0"/>
              <w:rPr>
                <w:sz w:val="1"/>
                <w:szCs w:val="1"/>
                <w:color w:val="auto"/>
              </w:rPr>
            </w:pPr>
          </w:p>
        </w:tc>
      </w:tr>
      <w:tr>
        <w:trPr>
          <w:trHeight w:val="250"/>
        </w:trPr>
        <w:tc>
          <w:tcPr>
            <w:tcW w:w="8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Total Debt:</w:t>
            </w: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debt, net of discounts and deferred financing costs</w:t>
            </w: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371,206</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Unamortized debt discounts and deferred financing costs</w:t>
            </w: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392,112</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unrestricted cash</w:t>
            </w: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(21,695)</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Consolidated Net Debt</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370,417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Annualized Consolidated Adjusted EBITDA (non-GAAP)</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8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Leverage Ratio</w:t>
            </w:r>
          </w:p>
        </w:tc>
        <w:tc>
          <w:tcPr>
            <w:tcW w:w="6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current assessment is that we anticipate cash on hand, funds generated from operations and available borrowings under our revolving credit facility to be sufficient to meet our working capital requirements, and that we will remain in compliance with our debt covenants. However, </w:t>
      </w:r>
      <w:r>
        <w:rPr>
          <w:rFonts w:ascii="Times New Roman" w:cs="Times New Roman" w:eastAsia="Times New Roman" w:hAnsi="Times New Roman"/>
          <w:sz w:val="18"/>
          <w:szCs w:val="18"/>
          <w:color w:val="212529"/>
        </w:rPr>
        <w:t>the ongoing magnitude,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duration and effects of the COVID-19 pandemic on our future results of operation, cash flows, and financial condition are difficult to predict at this time, and our current assessment is subject to material revision.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entered into any other transactions with third parties or unconsolidated entities whereby we have financial guarantees, subordinated retained interest, derivative instruments, or other contingent arrangements that expose us to material continuing risks, contingent liabilities or other obligations.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Contractual Obligations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See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our unaudited condensed consolidated financial statements in Part I, Item 1 of this Quarterly Report on Form 10-Q for disclosure information about potential contingent payments that we may be required to make in future periods that are not required to be recognized in our consolidated balance sheets as of September 30, 2020 or December 31, 2019.</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There have been no significant changes to our contractual obligations and commitments compared to those disclosed in "Management's Discussion and Analysis of Financial Condition and Results of Operations of Priority" included in the Annual Report for the year ended December 31, 2019, except for changes in minimum principal repayments under our Senior Credit Agreement. For an updated schedule of debt repayments, see Note 9, </w:t>
      </w:r>
      <w:r>
        <w:rPr>
          <w:rFonts w:ascii="Times New Roman" w:cs="Times New Roman" w:eastAsia="Times New Roman" w:hAnsi="Times New Roman"/>
          <w:sz w:val="18"/>
          <w:szCs w:val="18"/>
          <w:i w:val="1"/>
          <w:iCs w:val="1"/>
          <w:color w:val="auto"/>
        </w:rPr>
        <w:t>Debt Obligations</w:t>
      </w:r>
      <w:r>
        <w:rPr>
          <w:rFonts w:ascii="Times New Roman" w:cs="Times New Roman" w:eastAsia="Times New Roman" w:hAnsi="Times New Roman"/>
          <w:sz w:val="18"/>
          <w:szCs w:val="18"/>
          <w:color w:val="auto"/>
        </w:rPr>
        <w:t>, to the unaudited condensed consolidated financial statements contained in Part 1,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Note 12,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to the unaudited condensed consolidated financial statements contained in Part I,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U.S. generally accepted accounting principles for interim periods, which often require the judgment of management in the selection and application of certain accounting principles and methods. Our critical accounting policies and estimates are discussed in "Management's Discussion and Analysis of Financial Condition and Results of Operations" in our most recent Annual Report on Form 10-K. There have been no material changes to these critical accounting policies and estimates as of September 30,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New Accounting Pronouncements and Recently Issued Accounting Pronouncements Not Yet Adopted</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new accounting pronouncements are issued by the Financial Accounting Standards Board or other standards setting bodies that may affect our current and/or future financial statements. See Note 1, </w:t>
      </w:r>
      <w:r>
        <w:rPr>
          <w:rFonts w:ascii="Times New Roman" w:cs="Times New Roman" w:eastAsia="Times New Roman" w:hAnsi="Times New Roman"/>
          <w:sz w:val="18"/>
          <w:szCs w:val="18"/>
          <w:i w:val="1"/>
          <w:iCs w:val="1"/>
          <w:color w:val="auto"/>
        </w:rPr>
        <w:t>Basis of Presentation and Significant Accounting Policies</w:t>
      </w:r>
      <w:r>
        <w:rPr>
          <w:rFonts w:ascii="Times New Roman" w:cs="Times New Roman" w:eastAsia="Times New Roman" w:hAnsi="Times New Roman"/>
          <w:sz w:val="18"/>
          <w:szCs w:val="18"/>
          <w:color w:val="auto"/>
        </w:rPr>
        <w:t>, to our unaudited condensed consolidated financial statements included in Part 1, Item 1 of this Quarterly Report on Form 10-Q for a discussion of recently issued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0" w:lineRule="exact"/>
        <w:rPr>
          <w:sz w:val="20"/>
          <w:szCs w:val="20"/>
          <w:color w:val="auto"/>
        </w:rPr>
      </w:pPr>
    </w:p>
    <w:p>
      <w:pPr>
        <w:spacing w:after="0" w:line="2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Item 7A, "Quantitative and Qualitative Disclosures About Market Risk," of our Annual Report on Form 10-K for the year ended December 31, 2019. Our exposures to market risk have not changed materially since December 31, 2019.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Disclosure Controls and Procedures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We maintain disclosure controls and procedures, as defined in Rules 13a-15(e) and 15d-15(e) of the Securities Exchange Act of 1934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and chief financial officer (CFO) and, as appropriate, to allow timely decisions regarding required disclosures.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Management, with the participation of the CEO and CFO, has evaluated the effectiveness of the Company's disclosure controls and procedures as of September 30, 2020. Based on that evaluation, the Company's CEO and CFO concluded that the Company's disclosure controls and procedures were not effective as of September 30, 2020 due to the material weaknesses in our internal control over financial reporting that were most recently described in the Report of Management on Internal Control Over Financial Reporting in Item 9A, "Controls and Procedures," of our Annual Report on Form 10-K for the year ended December 31, 2019.</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b) Remediation of Material Weakness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As a result of these weaknesses, in December 2018 the Company hired an experienced Chief Financial Officer with significant public accounting and reporting experience and has hired additional accounting and finance staff with significant public accounting and reporting experience. We also engaged third party consultants to assist in the preparation of our financial statements and SEC disclosures.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Beginning in 2019, we implemented additional policies and procedures to enhance our internal controls with respect to timely reconciliations. As we continue to evaluate and improve our internal controls over financial reporting, additional measures to remediate the material weaknesses or modifications to certain of the remediation procedures described above may be necessary, including improvements to, or replacement of, the accounting and financial reporting system.</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Management is committed to improving our internal control processes and meets with our Audit Committee on a regular basis to monitor the status of remediation activities. Management believes that, once fully completed, the measures described above should remediate the material weaknesses identified and strengthen our internal control over financial reporting.</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c) Changes in Internal Control over Financial Reporting</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In response to the COVID-19 pandemic, most of our employees have been working remotely since mid-March 2020. We determined that no material changes were necessary to ensure that our internal control over financial reporting addresses risks of working in a remote environment. We are continually monitoring and assessing the COVID-19 potential effects on the effectiveness of our internal control over financial reporting. There were no changes in the Company’s internal control over financial reporting during the third quarter of 2020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involved in certain legal proceedings and claims which occur in the normal course of our business. We are not currently a party to any legal proceedings that we believe would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our Annual Report under Part I, Item 1A “Risk Factors”, as supplemented by the factors under Part II, Item 1A “Risk Factors” in our Quarterly Reports on Form 10-Q for the quarters ended March 31, 2020 and June 30, 2020, as filed with the SEC on May 13, 2020 and August 4, 2020, respectively (the “Quarterly Reports”), because these risk factors may affect our operations and financial results.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risks described in the Annual Report and Quarterly Reports are not the only risks we face. Additional risks and uncertainties not currently known to us or that we currently deem to be immaterial also may materially adversely affect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43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90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80" w:type="dxa"/>
            <w:vAlign w:val="bottom"/>
          </w:tcPr>
          <w:p>
            <w:pPr>
              <w:spacing w:after="0"/>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10.1</w:t>
              </w:r>
            </w:hyperlink>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00" w:type="dxa"/>
            <w:vAlign w:val="bottom"/>
            <w:gridSpan w:val="14"/>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Asset Purchase Agreement by and between MRI Payments LLC, MRI Software LLC, and Priority Real Estate Technology LLC, dated</w:t>
              </w:r>
            </w:hyperlink>
          </w:p>
        </w:tc>
        <w:tc>
          <w:tcPr>
            <w:tcW w:w="0" w:type="dxa"/>
            <w:vAlign w:val="bottom"/>
          </w:tcPr>
          <w:p>
            <w:pPr>
              <w:spacing w:after="0"/>
              <w:rPr>
                <w:sz w:val="1"/>
                <w:szCs w:val="1"/>
                <w:color w:val="auto"/>
              </w:rPr>
            </w:pPr>
          </w:p>
        </w:tc>
      </w:tr>
      <w:tr>
        <w:trPr>
          <w:trHeight w:val="205"/>
        </w:trPr>
        <w:tc>
          <w:tcPr>
            <w:tcW w:w="580" w:type="dxa"/>
            <w:vAlign w:val="bottom"/>
            <w:vMerge w:val="restart"/>
          </w:tcPr>
          <w:p>
            <w:pPr>
              <w:spacing w:after="0"/>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10.2</w:t>
              </w:r>
            </w:hyperlink>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60" w:type="dxa"/>
            <w:vAlign w:val="bottom"/>
            <w:tcBorders>
              <w:top w:val="single" w:sz="8" w:color="0000FF"/>
            </w:tcBorders>
            <w:gridSpan w:val="12"/>
          </w:tcPr>
          <w:p>
            <w:pPr>
              <w:spacing w:after="0" w:line="205" w:lineRule="exact"/>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August 31, 2020 (incorporated by reference to Exhibit 10.1 to the Current Report on Form 8-K, filed September 1, 2020)</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900" w:type="dxa"/>
            <w:vAlign w:val="bottom"/>
            <w:gridSpan w:val="14"/>
          </w:tcPr>
          <w:p>
            <w:pPr>
              <w:spacing w:after="0" w:line="194"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u w:val="single" w:color="auto"/>
                  <w:color w:val="0000FF"/>
                </w:rPr>
                <w:t>Sixth</w:t>
              </w:r>
              <w:r>
                <w:rPr>
                  <w:rFonts w:ascii="Times New Roman" w:cs="Times New Roman" w:eastAsia="Times New Roman" w:hAnsi="Times New Roman"/>
                  <w:sz w:val="18"/>
                  <w:szCs w:val="18"/>
                  <w:color w:val="0000FF"/>
                </w:rPr>
                <w:t xml:space="preserve"> Amendment to the Credit and Guaranty Agreement dated as of March 18, 2020 by and among Pipeline Cynergy Holdings LLC,</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40" w:type="dxa"/>
            <w:vAlign w:val="bottom"/>
            <w:gridSpan w:val="8"/>
          </w:tcPr>
          <w:p>
            <w:pPr>
              <w:spacing w:after="0" w:line="182"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Priority Institutional Partner Services LLC, Priority Payment Systems Holdings LLC, Priority Holdings LLC, the others Guarantors,</w:t>
              </w:r>
            </w:hyperlink>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8"/>
              </w:rPr>
            </w:pPr>
            <w:hyperlink r:id="rId75">
              <w:r>
                <w:rPr>
                  <w:rFonts w:ascii="Times New Roman" w:cs="Times New Roman" w:eastAsia="Times New Roman" w:hAnsi="Times New Roman"/>
                  <w:sz w:val="18"/>
                  <w:szCs w:val="18"/>
                  <w:color w:val="0000FF"/>
                  <w:w w:val="98"/>
                </w:rPr>
                <w:t>and Truist Bank (successor by merger to SunTrust Bank), (incorporated by reference to Exhibit 10.1 to the Company's Current Report</w:t>
              </w:r>
            </w:hyperlink>
          </w:p>
        </w:tc>
        <w:tc>
          <w:tcPr>
            <w:tcW w:w="12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60" w:type="dxa"/>
            <w:vAlign w:val="bottom"/>
            <w:gridSpan w:val="9"/>
          </w:tcPr>
          <w:p>
            <w:pPr>
              <w:spacing w:after="0" w:line="182"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on Form 8-K, filed March 23, 2020).</w:t>
              </w:r>
            </w:hyperlink>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10.3</w:t>
              </w:r>
            </w:hyperlink>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900" w:type="dxa"/>
            <w:vAlign w:val="bottom"/>
            <w:gridSpan w:val="14"/>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Consent and Sixth Amendment to Credit and Guaranty Agreement, dated as of March 18, 2020 by and among Priority Holdings LLC,</w:t>
              </w:r>
            </w:hyperlink>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8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the Guarantors, the Lenders and Goldman Sachs Specialty Group LP (incorporated by reference to Exhibit 10.2 to the Company's</w:t>
              </w:r>
            </w:hyperlink>
          </w:p>
        </w:tc>
        <w:tc>
          <w:tcPr>
            <w:tcW w:w="1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Current Report on Form 8-K, filed March 23, 2020).</w:t>
              </w:r>
            </w:hyperlink>
          </w:p>
        </w:tc>
        <w:tc>
          <w:tcPr>
            <w:tcW w:w="5540" w:type="dxa"/>
            <w:vAlign w:val="bottom"/>
            <w:tcBorders>
              <w:top w:val="single" w:sz="8" w:color="0000FF"/>
            </w:tcBorders>
          </w:tcPr>
          <w:p>
            <w:pPr>
              <w:spacing w:after="0"/>
              <w:rPr>
                <w:sz w:val="14"/>
                <w:szCs w:val="14"/>
                <w:color w:val="auto"/>
              </w:rPr>
            </w:pPr>
          </w:p>
        </w:tc>
        <w:tc>
          <w:tcPr>
            <w:tcW w:w="5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31.1</w:t>
              </w:r>
            </w:hyperlink>
          </w:p>
        </w:tc>
        <w:tc>
          <w:tcPr>
            <w:tcW w:w="200" w:type="dxa"/>
            <w:vAlign w:val="bottom"/>
          </w:tcPr>
          <w:p>
            <w:pPr>
              <w:spacing w:after="0"/>
              <w:rPr>
                <w:sz w:val="19"/>
                <w:szCs w:val="19"/>
                <w:color w:val="auto"/>
              </w:rPr>
            </w:pPr>
          </w:p>
        </w:tc>
        <w:tc>
          <w:tcPr>
            <w:tcW w:w="5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900" w:type="dxa"/>
            <w:vAlign w:val="bottom"/>
            <w:gridSpan w:val="14"/>
          </w:tcPr>
          <w:p>
            <w:pPr>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Certification of Chief Executive Officer pursuant to Rule 13a-14 and Rule 15d-14(a), promulgated under the Securities and Exchange</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Act of 1934, as amended.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80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31.2</w:t>
              </w:r>
            </w:hyperlink>
          </w:p>
        </w:tc>
        <w:tc>
          <w:tcPr>
            <w:tcW w:w="200" w:type="dxa"/>
            <w:vAlign w:val="bottom"/>
          </w:tcPr>
          <w:p>
            <w:pPr>
              <w:spacing w:after="0"/>
              <w:rPr>
                <w:sz w:val="18"/>
                <w:szCs w:val="18"/>
                <w:color w:val="auto"/>
              </w:rPr>
            </w:pPr>
          </w:p>
        </w:tc>
        <w:tc>
          <w:tcPr>
            <w:tcW w:w="5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900" w:type="dxa"/>
            <w:vAlign w:val="bottom"/>
            <w:gridSpan w:val="14"/>
          </w:tcPr>
          <w:p>
            <w:pPr>
              <w:spacing w:after="0"/>
              <w:rPr>
                <w:rFonts w:ascii="Times New Roman" w:cs="Times New Roman" w:eastAsia="Times New Roman" w:hAnsi="Times New Roman"/>
                <w:sz w:val="18"/>
                <w:szCs w:val="18"/>
                <w:color w:val="0000FF"/>
              </w:rPr>
            </w:pPr>
            <w:hyperlink w:anchor="page59">
              <w:r>
                <w:rPr>
                  <w:rFonts w:ascii="Times New Roman" w:cs="Times New Roman" w:eastAsia="Times New Roman" w:hAnsi="Times New Roman"/>
                  <w:sz w:val="18"/>
                  <w:szCs w:val="18"/>
                  <w:color w:val="0000FF"/>
                </w:rPr>
                <w:t>Certification of Chief Financial Officer pursuant to Rule 13a-14 and Rule 15d-14(a), promulgated under the Securities and Exchange</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w:anchor="page59">
              <w:r>
                <w:rPr>
                  <w:rFonts w:ascii="Times New Roman" w:cs="Times New Roman" w:eastAsia="Times New Roman" w:hAnsi="Times New Roman"/>
                  <w:sz w:val="18"/>
                  <w:szCs w:val="18"/>
                  <w:color w:val="0000FF"/>
                </w:rPr>
                <w:t>Act of 1934, as amended.</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380" w:hanging="1354"/>
        <w:spacing w:after="0" w:line="237" w:lineRule="auto"/>
        <w:tabs>
          <w:tab w:leader="none" w:pos="1002" w:val="left"/>
        </w:tabs>
        <w:numPr>
          <w:ilvl w:val="0"/>
          <w:numId w:val="1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hyperlink w:anchor="page60">
        <w:r>
          <w:rPr>
            <w:rFonts w:ascii="Times New Roman" w:cs="Times New Roman" w:eastAsia="Times New Roman" w:hAnsi="Times New Roman"/>
            <w:sz w:val="18"/>
            <w:szCs w:val="18"/>
            <w:u w:val="single" w:color="auto"/>
            <w:color w:val="0000FF"/>
          </w:rPr>
          <w:t>Certification of Chief Executive Officer and Chief Financial Officer pursuant to 18 U.S.C. Section 1350, as adopted pursuant to Section</w:t>
        </w:r>
      </w:hyperlink>
      <w:r>
        <w:rPr>
          <w:rFonts w:ascii="Times New Roman" w:cs="Times New Roman" w:eastAsia="Times New Roman" w:hAnsi="Times New Roman"/>
          <w:sz w:val="18"/>
          <w:szCs w:val="18"/>
          <w:color w:val="auto"/>
        </w:rPr>
        <w:t xml:space="preserve"> </w:t>
      </w:r>
      <w:hyperlink w:anchor="page60">
        <w:r>
          <w:rPr>
            <w:rFonts w:ascii="Times New Roman" w:cs="Times New Roman" w:eastAsia="Times New Roman" w:hAnsi="Times New Roman"/>
            <w:sz w:val="18"/>
            <w:szCs w:val="18"/>
            <w:u w:val="single" w:color="auto"/>
            <w:color w:val="0000FF"/>
          </w:rPr>
          <w:t>906 of the Sarbanes-Oxley Act of 2002.</w:t>
        </w:r>
      </w:hyperlink>
    </w:p>
    <w:tbl>
      <w:tblPr>
        <w:tblLayout w:type="fixed"/>
        <w:tblInd w:w="20" w:type="dxa"/>
        <w:tblCellMar>
          <w:top w:w="0" w:type="dxa"/>
          <w:left w:w="0" w:type="dxa"/>
          <w:bottom w:w="0" w:type="dxa"/>
          <w:right w:w="0" w:type="dxa"/>
        </w:tblCellMar>
      </w:tblPr>
      <w:tr>
        <w:trPr>
          <w:trHeight w:val="177"/>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1034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   XBRL Instance Document - the instance document does not appear in the Interactive Data File because its XBRL tags are embedded</w:t>
            </w:r>
          </w:p>
        </w:tc>
      </w:tr>
      <w:tr>
        <w:trPr>
          <w:trHeight w:val="225"/>
        </w:trPr>
        <w:tc>
          <w:tcPr>
            <w:tcW w:w="840" w:type="dxa"/>
            <w:vAlign w:val="bottom"/>
          </w:tcPr>
          <w:p>
            <w:pPr>
              <w:spacing w:after="0"/>
              <w:rPr>
                <w:sz w:val="19"/>
                <w:szCs w:val="19"/>
                <w:color w:val="auto"/>
              </w:rPr>
            </w:pPr>
          </w:p>
        </w:tc>
        <w:tc>
          <w:tcPr>
            <w:tcW w:w="10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2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XBRL Taxonomy Extension Schema Document</w:t>
            </w:r>
          </w:p>
        </w:tc>
      </w:tr>
      <w:tr>
        <w:trPr>
          <w:trHeight w:val="22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XBRL Taxonomy Extension Calculation Linkbase Document</w:t>
            </w: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XBRL Taxonomy Extension Definition Linkbase Document</w:t>
            </w:r>
          </w:p>
        </w:tc>
      </w:tr>
      <w:tr>
        <w:trPr>
          <w:trHeight w:val="22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XBRL Taxonomy Extension Label Linkbase Document</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XBRL Taxonomy Extension Presentation Linkbase Document</w:t>
            </w:r>
          </w:p>
        </w:tc>
      </w:tr>
    </w:tbl>
    <w:p>
      <w:pPr>
        <w:ind w:right="3300" w:firstLine="26"/>
        <w:spacing w:after="0" w:line="399" w:lineRule="auto"/>
        <w:tabs>
          <w:tab w:leader="none" w:pos="100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Cover Page Interactive Data File (formatted as Inline XBRL and contained in Exhibit 101) * Filed herewith</w:t>
      </w: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their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5680" w:type="dxa"/>
            <w:vAlign w:val="bottom"/>
            <w:gridSpan w:val="4"/>
          </w:tcPr>
          <w:p>
            <w:pPr>
              <w:ind w:left="1460"/>
              <w:spacing w:after="0"/>
              <w:rPr>
                <w:sz w:val="20"/>
                <w:szCs w:val="20"/>
                <w:color w:val="auto"/>
              </w:rPr>
            </w:pPr>
            <w:r>
              <w:rPr>
                <w:rFonts w:ascii="Times New Roman" w:cs="Times New Roman" w:eastAsia="Times New Roman" w:hAnsi="Times New Roman"/>
                <w:sz w:val="18"/>
                <w:szCs w:val="18"/>
                <w:color w:val="auto"/>
              </w:rPr>
              <w:t>PRIORITY TECHNOLOGY HOLDINGS, INC.</w:t>
            </w:r>
          </w:p>
        </w:tc>
      </w:tr>
      <w:tr>
        <w:trPr>
          <w:trHeight w:val="79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2020</w:t>
            </w:r>
          </w:p>
        </w:tc>
        <w:tc>
          <w:tcPr>
            <w:tcW w:w="290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THOMAS C. PRIORE</w:t>
            </w:r>
          </w:p>
        </w:tc>
      </w:tr>
      <w:tr>
        <w:trPr>
          <w:trHeight w:val="142"/>
        </w:trPr>
        <w:tc>
          <w:tcPr>
            <w:tcW w:w="29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8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Thomas C. Priore</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5"/>
        </w:trPr>
        <w:tc>
          <w:tcPr>
            <w:tcW w:w="29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7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i w:val="1"/>
                <w:iCs w:val="1"/>
                <w:color w:val="auto"/>
                <w:w w:val="99"/>
              </w:rPr>
              <w:t>Chief Executive Officer and Chairman</w:t>
            </w:r>
          </w:p>
        </w:tc>
      </w:tr>
      <w:tr>
        <w:trPr>
          <w:trHeight w:val="236"/>
        </w:trPr>
        <w:tc>
          <w:tcPr>
            <w:tcW w:w="29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68"/>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2020</w:t>
            </w:r>
          </w:p>
        </w:tc>
        <w:tc>
          <w:tcPr>
            <w:tcW w:w="290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MICHAEL T. VOLLKOMMER</w:t>
            </w:r>
          </w:p>
        </w:tc>
      </w:tr>
      <w:tr>
        <w:trPr>
          <w:trHeight w:val="142"/>
        </w:trPr>
        <w:tc>
          <w:tcPr>
            <w:tcW w:w="29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6"/>
                <w:szCs w:val="16"/>
                <w:color w:val="auto"/>
              </w:rPr>
              <w:t>Michael T. Vollkommer</w:t>
            </w:r>
          </w:p>
        </w:tc>
        <w:tc>
          <w:tcPr>
            <w:tcW w:w="220" w:type="dxa"/>
            <w:vAlign w:val="bottom"/>
          </w:tcPr>
          <w:p>
            <w:pPr>
              <w:spacing w:after="0"/>
              <w:rPr>
                <w:sz w:val="12"/>
                <w:szCs w:val="12"/>
                <w:color w:val="auto"/>
              </w:rPr>
            </w:pPr>
          </w:p>
        </w:tc>
      </w:tr>
      <w:tr>
        <w:trPr>
          <w:trHeight w:val="175"/>
        </w:trPr>
        <w:tc>
          <w:tcPr>
            <w:tcW w:w="29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7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29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0500"/>
          </w:cols>
          <w:pgMar w:left="320" w:top="121" w:right="107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 AS ADOPTED PURSUANT TO SECTION 303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C. Priore, certify that:</w:t>
      </w:r>
    </w:p>
    <w:p>
      <w:pPr>
        <w:spacing w:after="0" w:line="252"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Priority Technology Holdings,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980" w:right="60" w:hanging="324"/>
        <w:spacing w:after="0" w:line="257" w:lineRule="auto"/>
        <w:tabs>
          <w:tab w:leader="none" w:pos="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980" w:right="540" w:hanging="324"/>
        <w:spacing w:after="0" w:line="265" w:lineRule="auto"/>
        <w:tabs>
          <w:tab w:leader="none" w:pos="97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60" w:hanging="324"/>
        <w:spacing w:after="0" w:line="255"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780" w:hanging="324"/>
        <w:spacing w:after="0" w:line="261" w:lineRule="auto"/>
        <w:tabs>
          <w:tab w:leader="none" w:pos="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500" w:hanging="324"/>
        <w:spacing w:after="0" w:line="260"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7" w:lineRule="exact"/>
        <w:rPr>
          <w:sz w:val="20"/>
          <w:szCs w:val="20"/>
          <w:color w:val="auto"/>
        </w:rPr>
      </w:pPr>
    </w:p>
    <w:p>
      <w:pPr>
        <w:ind w:left="900"/>
        <w:spacing w:after="0"/>
        <w:tabs>
          <w:tab w:leader="none" w:pos="6460" w:val="left"/>
        </w:tabs>
        <w:rPr>
          <w:sz w:val="20"/>
          <w:szCs w:val="20"/>
          <w:color w:val="auto"/>
        </w:rPr>
      </w:pPr>
      <w:r>
        <w:rPr>
          <w:rFonts w:ascii="Times New Roman" w:cs="Times New Roman" w:eastAsia="Times New Roman" w:hAnsi="Times New Roman"/>
          <w:sz w:val="18"/>
          <w:szCs w:val="18"/>
          <w:color w:val="auto"/>
        </w:rPr>
        <w:t>November 12, 2020</w:t>
      </w:r>
      <w:r>
        <w:rPr>
          <w:sz w:val="20"/>
          <w:szCs w:val="20"/>
          <w:color w:val="auto"/>
        </w:rPr>
        <w:tab/>
      </w:r>
      <w:r>
        <w:rPr>
          <w:rFonts w:ascii="Times New Roman" w:cs="Times New Roman" w:eastAsia="Times New Roman" w:hAnsi="Times New Roman"/>
          <w:sz w:val="18"/>
          <w:szCs w:val="18"/>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17145</wp:posOffset>
            </wp:positionV>
            <wp:extent cx="38061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806190" cy="17145"/>
                    </a:xfrm>
                    <a:prstGeom prst="rect">
                      <a:avLst/>
                    </a:prstGeom>
                    <a:noFill/>
                  </pic:spPr>
                </pic:pic>
              </a:graphicData>
            </a:graphic>
          </wp:anchor>
        </w:drawing>
      </w:r>
    </w:p>
    <w:p>
      <w:pPr>
        <w:spacing w:after="0" w:line="30" w:lineRule="exact"/>
        <w:rPr>
          <w:sz w:val="20"/>
          <w:szCs w:val="20"/>
          <w:color w:val="auto"/>
        </w:rPr>
      </w:pPr>
    </w:p>
    <w:p>
      <w:pPr>
        <w:jc w:val="center"/>
        <w:ind w:left="3580"/>
        <w:spacing w:after="0"/>
        <w:rPr>
          <w:sz w:val="20"/>
          <w:szCs w:val="20"/>
          <w:color w:val="auto"/>
        </w:rPr>
      </w:pPr>
      <w:r>
        <w:rPr>
          <w:rFonts w:ascii="Times New Roman" w:cs="Times New Roman" w:eastAsia="Times New Roman" w:hAnsi="Times New Roman"/>
          <w:sz w:val="18"/>
          <w:szCs w:val="18"/>
          <w:color w:val="auto"/>
        </w:rPr>
        <w:t>Thomas C. Priore</w:t>
      </w:r>
    </w:p>
    <w:p>
      <w:pPr>
        <w:spacing w:after="0" w:line="27" w:lineRule="exact"/>
        <w:rPr>
          <w:sz w:val="20"/>
          <w:szCs w:val="20"/>
          <w:color w:val="auto"/>
        </w:rPr>
      </w:pPr>
    </w:p>
    <w:p>
      <w:pPr>
        <w:jc w:val="center"/>
        <w:ind w:left="3580"/>
        <w:spacing w:after="0"/>
        <w:rPr>
          <w:sz w:val="20"/>
          <w:szCs w:val="20"/>
          <w:color w:val="auto"/>
        </w:rPr>
      </w:pPr>
      <w:r>
        <w:rPr>
          <w:rFonts w:ascii="Times New Roman" w:cs="Times New Roman" w:eastAsia="Times New Roman" w:hAnsi="Times New Roman"/>
          <w:sz w:val="18"/>
          <w:szCs w:val="18"/>
          <w:i w:val="1"/>
          <w:iCs w:val="1"/>
          <w:color w:val="auto"/>
        </w:rPr>
        <w:t>Chief Executive Officer and Chairman</w:t>
      </w:r>
    </w:p>
    <w:p>
      <w:pPr>
        <w:spacing w:after="0" w:line="23" w:lineRule="exact"/>
        <w:rPr>
          <w:sz w:val="20"/>
          <w:szCs w:val="20"/>
          <w:color w:val="auto"/>
        </w:rPr>
      </w:pPr>
    </w:p>
    <w:p>
      <w:pPr>
        <w:jc w:val="center"/>
        <w:ind w:left="3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340" w:right="260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 AS ADOPTED PURSUANT TO SECTION 303 OF THE SARBANES-OXLEY ACT OF 2002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T. Vollkommer, certify that:</w:t>
      </w:r>
    </w:p>
    <w:p>
      <w:pPr>
        <w:spacing w:after="0" w:line="252"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Priority Technology Holdings,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980" w:right="60" w:hanging="324"/>
        <w:spacing w:after="0" w:line="257" w:lineRule="auto"/>
        <w:tabs>
          <w:tab w:leader="none" w:pos="9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980" w:right="540" w:hanging="324"/>
        <w:spacing w:after="0" w:line="265" w:lineRule="auto"/>
        <w:tabs>
          <w:tab w:leader="none" w:pos="97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60" w:hanging="324"/>
        <w:spacing w:after="0" w:line="255"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780" w:hanging="324"/>
        <w:spacing w:after="0" w:line="261" w:lineRule="auto"/>
        <w:tabs>
          <w:tab w:leader="none" w:pos="9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500" w:hanging="324"/>
        <w:spacing w:after="0" w:line="260"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7" w:lineRule="exact"/>
        <w:rPr>
          <w:sz w:val="20"/>
          <w:szCs w:val="20"/>
          <w:color w:val="auto"/>
        </w:rPr>
      </w:pPr>
    </w:p>
    <w:p>
      <w:pPr>
        <w:ind w:left="120"/>
        <w:spacing w:after="0"/>
        <w:tabs>
          <w:tab w:leader="none" w:pos="7440" w:val="left"/>
        </w:tabs>
        <w:rPr>
          <w:sz w:val="20"/>
          <w:szCs w:val="20"/>
          <w:color w:val="auto"/>
        </w:rPr>
      </w:pPr>
      <w:r>
        <w:rPr>
          <w:rFonts w:ascii="Times New Roman" w:cs="Times New Roman" w:eastAsia="Times New Roman" w:hAnsi="Times New Roman"/>
          <w:sz w:val="18"/>
          <w:szCs w:val="18"/>
          <w:color w:val="auto"/>
        </w:rPr>
        <w:t>November 12, 2020</w:t>
      </w:r>
      <w:r>
        <w:rPr>
          <w:sz w:val="20"/>
          <w:szCs w:val="20"/>
          <w:color w:val="auto"/>
        </w:rPr>
        <w:tab/>
      </w:r>
      <w:r>
        <w:rPr>
          <w:rFonts w:ascii="Times New Roman" w:cs="Times New Roman" w:eastAsia="Times New Roman" w:hAnsi="Times New Roman"/>
          <w:sz w:val="17"/>
          <w:szCs w:val="17"/>
          <w:color w:val="auto"/>
        </w:rPr>
        <w:t>/s/ MICHAEL T.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17145</wp:posOffset>
            </wp:positionV>
            <wp:extent cx="30600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30"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color w:val="auto"/>
        </w:rPr>
        <w:t>Michael T. Vollkommer</w:t>
      </w:r>
    </w:p>
    <w:p>
      <w:pPr>
        <w:spacing w:after="0" w:line="2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Priority Technology Holdings, Inc. (the "Company") for the quarter ended September 30, 2020 as filed with the Securities and Exchange Commission (the "Report"), each of the undersigned, on the dates indicated below, hereby certifies pursuant to 18 U.S.C. Section 1350, as adopted pursuant to Section 906 of the Sarbanes-Oxley Act of 2002, that:</w:t>
      </w:r>
    </w:p>
    <w:p>
      <w:pPr>
        <w:spacing w:after="0" w:line="20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Act of 1934;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spacing w:after="0"/>
        <w:tabs>
          <w:tab w:leader="none" w:pos="4660" w:val="left"/>
        </w:tabs>
        <w:rPr>
          <w:sz w:val="20"/>
          <w:szCs w:val="20"/>
          <w:color w:val="auto"/>
        </w:rPr>
      </w:pPr>
      <w:r>
        <w:rPr>
          <w:rFonts w:ascii="Times New Roman" w:cs="Times New Roman" w:eastAsia="Times New Roman" w:hAnsi="Times New Roman"/>
          <w:sz w:val="18"/>
          <w:szCs w:val="18"/>
          <w:color w:val="auto"/>
        </w:rPr>
        <w:t>November 12, 2020</w:t>
      </w:r>
      <w:r>
        <w:rPr>
          <w:sz w:val="20"/>
          <w:szCs w:val="20"/>
          <w:color w:val="auto"/>
        </w:rPr>
        <w:tab/>
      </w:r>
      <w:r>
        <w:rPr>
          <w:rFonts w:ascii="Times New Roman" w:cs="Times New Roman" w:eastAsia="Times New Roman" w:hAnsi="Times New Roman"/>
          <w:sz w:val="17"/>
          <w:szCs w:val="17"/>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42005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Thomas C. Priore</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Chief Executive Officer and Chairman</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
        <w:spacing w:after="0"/>
        <w:tabs>
          <w:tab w:leader="none" w:pos="4660" w:val="left"/>
        </w:tabs>
        <w:rPr>
          <w:sz w:val="20"/>
          <w:szCs w:val="20"/>
          <w:color w:val="auto"/>
        </w:rPr>
      </w:pPr>
      <w:r>
        <w:rPr>
          <w:rFonts w:ascii="Times New Roman" w:cs="Times New Roman" w:eastAsia="Times New Roman" w:hAnsi="Times New Roman"/>
          <w:sz w:val="18"/>
          <w:szCs w:val="18"/>
          <w:color w:val="auto"/>
        </w:rPr>
        <w:t>November 12, 2020</w:t>
      </w:r>
      <w:r>
        <w:rPr>
          <w:sz w:val="20"/>
          <w:szCs w:val="20"/>
          <w:color w:val="auto"/>
        </w:rPr>
        <w:tab/>
      </w:r>
      <w:r>
        <w:rPr>
          <w:rFonts w:ascii="Times New Roman" w:cs="Times New Roman" w:eastAsia="Times New Roman" w:hAnsi="Times New Roman"/>
          <w:sz w:val="17"/>
          <w:szCs w:val="17"/>
          <w:color w:val="auto"/>
        </w:rPr>
        <w:t>/s/ MICHAEL T.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42005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Michael T. Vollkommer</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800"/>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7"/>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32"/>
    </w:lvl>
  </w:abstractNum>
  <w:abstractNum w:abstractNumId="12">
    <w:nsid w:val="1BEFD79F"/>
    <w:multiLevelType w:val="hybridMultilevel"/>
    <w:lvl w:ilvl="0">
      <w:lvlJc w:val="left"/>
      <w:lvlText w:val="*"/>
      <w:numFmt w:val="bullet"/>
      <w:start w:val="1"/>
    </w:lvl>
    <w:lvl w:ilvl="1">
      <w:lvlJc w:val="left"/>
      <w:lvlText w:val="%2"/>
      <w:numFmt w:val="decimal"/>
      <w:start w:val="104"/>
    </w:lvl>
    <w:lvl w:ilvl="2">
      <w:lvlJc w:val="left"/>
      <w:lvlText w:val="-"/>
      <w:numFmt w:val="bullet"/>
      <w:start w:val="1"/>
    </w:lvl>
  </w:abstractNum>
  <w:abstractNum w:abstractNumId="13">
    <w:nsid w:val="41A7C4C9"/>
    <w:multiLevelType w:val="hybridMultilevel"/>
    <w:lvl w:ilvl="0">
      <w:lvlJc w:val="left"/>
      <w:lvlText w:val="**"/>
      <w:numFmt w:val="bullet"/>
      <w:start w:val="1"/>
    </w:lvl>
    <w:lvl w:ilvl="1">
      <w:lvlJc w:val="left"/>
      <w:lvlText w:val="%2"/>
      <w:numFmt w:val="decimal"/>
      <w:start w:val="1"/>
    </w:lvl>
    <w:lvl w:ilvl="2">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74" Type="http://schemas.openxmlformats.org/officeDocument/2006/relationships/hyperlink" Target="https://www.sec.gov/Archives/edgar/data/1653558/000165355820000148/assetpurchaseagreement.htm" TargetMode="External"/><Relationship Id="rId75" Type="http://schemas.openxmlformats.org/officeDocument/2006/relationships/hyperlink" Target="https://www.sec.gov/Archives/edgar/data/1653558/000165355820000010/exhibit101truist.htm" TargetMode="External"/><Relationship Id="rId76" Type="http://schemas.openxmlformats.org/officeDocument/2006/relationships/hyperlink" Target="https://www.sec.gov/Archives/edgar/data/1653558/000165355820000010/exhibit102g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2020-11-13T05:28:05Z</dcterms:created>
  <dcterms:modified xsi:type="dcterms:W3CDTF">2020-11-13T05:28:05Z</dcterms:modified>
</cp:coreProperties>
</file>